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670" w:type="dxa"/>
        <w:jc w:val="center"/>
        <w:tblLook w:val="01E0" w:firstRow="1" w:lastRow="1" w:firstColumn="1" w:lastColumn="1" w:noHBand="0" w:noVBand="0"/>
      </w:tblPr>
      <w:tblGrid>
        <w:gridCol w:w="2855"/>
        <w:gridCol w:w="2815"/>
      </w:tblGrid>
      <w:tr w:rsidR="007409E1" w14:paraId="1F492CF8" w14:textId="77777777">
        <w:trPr>
          <w:trHeight w:val="1134"/>
          <w:jc w:val="center"/>
        </w:trPr>
        <w:tc>
          <w:tcPr>
            <w:tcW w:w="9245" w:type="dxa"/>
            <w:gridSpan w:val="2"/>
            <w:shd w:val="clear" w:color="auto" w:fill="auto"/>
          </w:tcPr>
          <w:p w14:paraId="3620B193" w14:textId="77777777" w:rsidR="007409E1" w:rsidRDefault="007409E1">
            <w:pPr>
              <w:pStyle w:val="bodystrong"/>
              <w:overflowPunct w:val="0"/>
              <w:autoSpaceDE w:val="0"/>
              <w:autoSpaceDN w:val="0"/>
              <w:adjustRightInd w:val="0"/>
              <w:jc w:val="both"/>
              <w:textAlignment w:val="baseline"/>
            </w:pPr>
          </w:p>
        </w:tc>
      </w:tr>
      <w:tr w:rsidR="007409E1" w14:paraId="6BC43F5D" w14:textId="77777777">
        <w:trPr>
          <w:jc w:val="center"/>
        </w:trPr>
        <w:tc>
          <w:tcPr>
            <w:tcW w:w="4622" w:type="dxa"/>
            <w:shd w:val="clear" w:color="auto" w:fill="auto"/>
          </w:tcPr>
          <w:p w14:paraId="554EF465" w14:textId="77777777" w:rsidR="007409E1" w:rsidRDefault="007409E1">
            <w:pPr>
              <w:pStyle w:val="bodystrong"/>
              <w:overflowPunct w:val="0"/>
              <w:autoSpaceDE w:val="0"/>
              <w:autoSpaceDN w:val="0"/>
              <w:adjustRightInd w:val="0"/>
              <w:jc w:val="both"/>
              <w:textAlignment w:val="baseline"/>
            </w:pPr>
            <w:r>
              <w:t>DATED</w:t>
            </w:r>
          </w:p>
        </w:tc>
        <w:tc>
          <w:tcPr>
            <w:tcW w:w="4623" w:type="dxa"/>
            <w:shd w:val="clear" w:color="auto" w:fill="auto"/>
          </w:tcPr>
          <w:p w14:paraId="51029969" w14:textId="77777777" w:rsidR="007409E1" w:rsidRDefault="00287E9A">
            <w:pPr>
              <w:pStyle w:val="bodystrong"/>
              <w:overflowPunct w:val="0"/>
              <w:autoSpaceDE w:val="0"/>
              <w:autoSpaceDN w:val="0"/>
              <w:adjustRightInd w:val="0"/>
              <w:jc w:val="right"/>
              <w:textAlignment w:val="baseline"/>
            </w:pPr>
            <w:bookmarkStart w:id="0" w:name="bmYear"/>
            <w:r>
              <w:t xml:space="preserve"> </w:t>
            </w:r>
            <w:r w:rsidR="00C43165">
              <w:t xml:space="preserve"> 11 </w:t>
            </w:r>
            <w:r w:rsidR="00BC16C1">
              <w:t xml:space="preserve">APRIL </w:t>
            </w:r>
            <w:r>
              <w:t>2023</w:t>
            </w:r>
            <w:bookmarkEnd w:id="0"/>
          </w:p>
        </w:tc>
      </w:tr>
    </w:tbl>
    <w:p w14:paraId="62BFB40A" w14:textId="77777777" w:rsidR="007409E1" w:rsidRDefault="007409E1">
      <w:pPr>
        <w:pStyle w:val="body"/>
      </w:pPr>
    </w:p>
    <w:p w14:paraId="6F6ADB24" w14:textId="77777777" w:rsidR="007409E1" w:rsidRDefault="007409E1">
      <w:pPr>
        <w:pStyle w:val="body"/>
      </w:pPr>
    </w:p>
    <w:p w14:paraId="7165E96A" w14:textId="77777777" w:rsidR="007409E1" w:rsidRDefault="007409E1">
      <w:pPr>
        <w:pStyle w:val="body"/>
      </w:pPr>
    </w:p>
    <w:p w14:paraId="6DB872BA" w14:textId="77777777" w:rsidR="007409E1" w:rsidRDefault="007409E1">
      <w:pPr>
        <w:pStyle w:val="body"/>
      </w:pPr>
    </w:p>
    <w:p w14:paraId="58164713" w14:textId="77777777" w:rsidR="007409E1" w:rsidRDefault="007409E1">
      <w:pPr>
        <w:pStyle w:val="bodycondstrongcentred"/>
      </w:pPr>
      <w:bookmarkStart w:id="1" w:name="bmPartiesUpper"/>
      <w:r>
        <w:t>ADIF</w:t>
      </w:r>
      <w:r>
        <w:noBreakHyphen/>
        <w:t>ALTA VELOCIDAD</w:t>
      </w:r>
    </w:p>
    <w:p w14:paraId="69B18754" w14:textId="77777777" w:rsidR="007409E1" w:rsidRDefault="007409E1">
      <w:pPr>
        <w:pStyle w:val="bodycondstrongcentred"/>
      </w:pPr>
    </w:p>
    <w:bookmarkEnd w:id="1"/>
    <w:p w14:paraId="5AA1A324" w14:textId="77777777" w:rsidR="007409E1" w:rsidRDefault="007409E1">
      <w:pPr>
        <w:pStyle w:val="bodycondstrongcentred"/>
      </w:pPr>
      <w:r>
        <w:t xml:space="preserve">EUR </w:t>
      </w:r>
      <w:r w:rsidR="00E828BA">
        <w:t>8</w:t>
      </w:r>
      <w:r>
        <w:t>,000,000,000</w:t>
      </w:r>
    </w:p>
    <w:p w14:paraId="05FC7F10" w14:textId="77777777" w:rsidR="007409E1" w:rsidRDefault="007409E1">
      <w:pPr>
        <w:pStyle w:val="bodycondstrongcentred"/>
      </w:pPr>
    </w:p>
    <w:p w14:paraId="42A33A44" w14:textId="77777777" w:rsidR="007409E1" w:rsidRDefault="007409E1">
      <w:pPr>
        <w:pStyle w:val="bodycondstrongcentred"/>
      </w:pPr>
      <w:r>
        <w:t>EURO MEDIUM TERM NOTE PROGRAMME</w:t>
      </w:r>
    </w:p>
    <w:p w14:paraId="0AFF180D" w14:textId="77777777" w:rsidR="007409E1" w:rsidRDefault="007409E1">
      <w:pPr>
        <w:pStyle w:val="body"/>
      </w:pPr>
    </w:p>
    <w:p w14:paraId="774A59ED" w14:textId="77777777" w:rsidR="007409E1" w:rsidRDefault="007409E1">
      <w:pPr>
        <w:pStyle w:val="body"/>
      </w:pPr>
    </w:p>
    <w:p w14:paraId="7A68C391" w14:textId="77777777" w:rsidR="007409E1" w:rsidRDefault="007409E1">
      <w:pPr>
        <w:pStyle w:val="body"/>
      </w:pPr>
    </w:p>
    <w:p w14:paraId="2023963A" w14:textId="77777777" w:rsidR="007409E1" w:rsidRDefault="007409E1">
      <w:pPr>
        <w:pStyle w:val="body"/>
      </w:pPr>
    </w:p>
    <w:tbl>
      <w:tblPr>
        <w:tblW w:w="0" w:type="auto"/>
        <w:tblLayout w:type="fixed"/>
        <w:tblLook w:val="0000" w:firstRow="0" w:lastRow="0" w:firstColumn="0" w:lastColumn="0" w:noHBand="0" w:noVBand="0"/>
      </w:tblPr>
      <w:tblGrid>
        <w:gridCol w:w="2538"/>
        <w:gridCol w:w="4306"/>
        <w:gridCol w:w="2396"/>
      </w:tblGrid>
      <w:tr w:rsidR="007409E1" w14:paraId="76D1E328" w14:textId="77777777">
        <w:tc>
          <w:tcPr>
            <w:tcW w:w="2538" w:type="dxa"/>
          </w:tcPr>
          <w:p w14:paraId="1046EEFD" w14:textId="77777777" w:rsidR="007409E1" w:rsidRDefault="007409E1">
            <w:pPr>
              <w:tabs>
                <w:tab w:val="left" w:pos="-720"/>
              </w:tabs>
              <w:suppressAutoHyphens/>
              <w:rPr>
                <w:spacing w:val="-3"/>
              </w:rPr>
            </w:pPr>
          </w:p>
        </w:tc>
        <w:tc>
          <w:tcPr>
            <w:tcW w:w="4306" w:type="dxa"/>
          </w:tcPr>
          <w:p w14:paraId="0C4B1111" w14:textId="77777777" w:rsidR="007409E1" w:rsidRDefault="007409E1">
            <w:pPr>
              <w:pStyle w:val="bodystrongcentred"/>
            </w:pPr>
          </w:p>
          <w:p w14:paraId="36DA72A6" w14:textId="77777777" w:rsidR="007409E1" w:rsidRDefault="007409E1">
            <w:pPr>
              <w:pStyle w:val="BODYDOCTITLE"/>
            </w:pPr>
            <w:bookmarkStart w:id="2" w:name="bmDocumentType"/>
            <w:r>
              <w:t>PROGRAMME MANUAL</w:t>
            </w:r>
            <w:bookmarkEnd w:id="2"/>
          </w:p>
          <w:p w14:paraId="756D09FE" w14:textId="77777777" w:rsidR="007409E1" w:rsidRDefault="007409E1">
            <w:pPr>
              <w:tabs>
                <w:tab w:val="left" w:pos="-720"/>
              </w:tabs>
              <w:suppressAutoHyphens/>
              <w:rPr>
                <w:spacing w:val="-3"/>
              </w:rPr>
            </w:pPr>
          </w:p>
        </w:tc>
        <w:tc>
          <w:tcPr>
            <w:tcW w:w="2396" w:type="dxa"/>
          </w:tcPr>
          <w:p w14:paraId="73253E3F" w14:textId="77777777" w:rsidR="007409E1" w:rsidRDefault="007409E1">
            <w:pPr>
              <w:tabs>
                <w:tab w:val="left" w:pos="-720"/>
              </w:tabs>
              <w:suppressAutoHyphens/>
              <w:rPr>
                <w:spacing w:val="-3"/>
              </w:rPr>
            </w:pPr>
          </w:p>
        </w:tc>
      </w:tr>
    </w:tbl>
    <w:p w14:paraId="6D046180" w14:textId="77777777" w:rsidR="007409E1" w:rsidRDefault="007409E1">
      <w:pPr>
        <w:pStyle w:val="MarginText"/>
      </w:pPr>
    </w:p>
    <w:p w14:paraId="5C1D61F6" w14:textId="77777777" w:rsidR="007409E1" w:rsidRDefault="007409E1">
      <w:pPr>
        <w:pStyle w:val="MarginText"/>
      </w:pPr>
    </w:p>
    <w:p w14:paraId="6E43FAF2" w14:textId="77777777" w:rsidR="007409E1" w:rsidRDefault="007409E1">
      <w:pPr>
        <w:pStyle w:val="MarginText"/>
      </w:pPr>
    </w:p>
    <w:p w14:paraId="40FF1B49" w14:textId="77777777" w:rsidR="007409E1" w:rsidRDefault="007409E1">
      <w:pPr>
        <w:pStyle w:val="MarginText"/>
      </w:pPr>
    </w:p>
    <w:p w14:paraId="15C6A5A6" w14:textId="77777777" w:rsidR="007409E1" w:rsidRDefault="007409E1">
      <w:pPr>
        <w:sectPr w:rsidR="007409E1">
          <w:headerReference w:type="even" r:id="rId8"/>
          <w:headerReference w:type="default" r:id="rId9"/>
          <w:footerReference w:type="even" r:id="rId10"/>
          <w:footerReference w:type="default" r:id="rId11"/>
          <w:headerReference w:type="first" r:id="rId12"/>
          <w:footerReference w:type="first" r:id="rId13"/>
          <w:endnotePr>
            <w:numFmt w:val="decimal"/>
          </w:endnotePr>
          <w:pgSz w:w="11909" w:h="16834"/>
          <w:pgMar w:top="2268" w:right="1440" w:bottom="1797" w:left="1440" w:header="720" w:footer="720" w:gutter="0"/>
          <w:pgNumType w:start="1"/>
          <w:cols w:space="720"/>
          <w:titlePg/>
        </w:sectPr>
      </w:pPr>
    </w:p>
    <w:p w14:paraId="00CD9AE3" w14:textId="77777777" w:rsidR="007409E1" w:rsidRDefault="007409E1">
      <w:pPr>
        <w:pStyle w:val="bodystrongcentred"/>
      </w:pPr>
      <w:r>
        <w:lastRenderedPageBreak/>
        <w:t>CONTENTS</w:t>
      </w:r>
    </w:p>
    <w:p w14:paraId="6ABBB82D" w14:textId="77777777" w:rsidR="007409E1" w:rsidRDefault="007409E1"/>
    <w:bookmarkStart w:id="3" w:name="TOCField"/>
    <w:bookmarkEnd w:id="3"/>
    <w:p w14:paraId="3E957BA7" w14:textId="77777777" w:rsidR="00A01C8A" w:rsidRPr="00D66130" w:rsidRDefault="007409E1">
      <w:pPr>
        <w:pStyle w:val="TOC1"/>
        <w:rPr>
          <w:rFonts w:ascii="Calibri" w:eastAsia="Times New Roman" w:hAnsi="Calibri"/>
          <w:caps w:val="0"/>
          <w:noProof/>
          <w:kern w:val="0"/>
          <w:szCs w:val="22"/>
          <w:lang w:val="es-ES" w:eastAsia="es-ES"/>
        </w:rPr>
      </w:pPr>
      <w:r>
        <w:fldChar w:fldCharType="begin"/>
      </w:r>
      <w:r>
        <w:instrText xml:space="preserve"> TOC \h \t "Heading, 1, Heading 1, 1" \h \t "SchHead, 8, SchPart, 9, SchSection, 3" \* MERGEFORMAT </w:instrText>
      </w:r>
      <w:r>
        <w:fldChar w:fldCharType="separate"/>
      </w:r>
      <w:hyperlink w:anchor="_Toc60859020" w:history="1">
        <w:r w:rsidR="00A01C8A" w:rsidRPr="00D2009E">
          <w:rPr>
            <w:rStyle w:val="Hyperlink"/>
            <w:noProof/>
          </w:rPr>
          <w:t>1.</w:t>
        </w:r>
        <w:r w:rsidR="00A01C8A" w:rsidRPr="00D66130">
          <w:rPr>
            <w:rFonts w:ascii="Calibri" w:eastAsia="Times New Roman" w:hAnsi="Calibri"/>
            <w:caps w:val="0"/>
            <w:noProof/>
            <w:kern w:val="0"/>
            <w:szCs w:val="22"/>
            <w:lang w:val="es-ES" w:eastAsia="es-ES"/>
          </w:rPr>
          <w:tab/>
        </w:r>
        <w:r w:rsidR="00A01C8A" w:rsidRPr="00D2009E">
          <w:rPr>
            <w:rStyle w:val="Hyperlink"/>
            <w:noProof/>
          </w:rPr>
          <w:t>Signed for Identification</w:t>
        </w:r>
        <w:r w:rsidR="00A01C8A">
          <w:rPr>
            <w:noProof/>
          </w:rPr>
          <w:tab/>
        </w:r>
        <w:r w:rsidR="00A01C8A">
          <w:rPr>
            <w:noProof/>
          </w:rPr>
          <w:fldChar w:fldCharType="begin"/>
        </w:r>
        <w:r w:rsidR="00A01C8A">
          <w:rPr>
            <w:noProof/>
          </w:rPr>
          <w:instrText xml:space="preserve"> PAGEREF _Toc60859020 \h </w:instrText>
        </w:r>
        <w:r w:rsidR="00A01C8A">
          <w:rPr>
            <w:noProof/>
          </w:rPr>
        </w:r>
        <w:r w:rsidR="00A01C8A">
          <w:rPr>
            <w:noProof/>
          </w:rPr>
          <w:fldChar w:fldCharType="separate"/>
        </w:r>
        <w:r w:rsidR="00C43165">
          <w:rPr>
            <w:noProof/>
          </w:rPr>
          <w:t>2</w:t>
        </w:r>
        <w:r w:rsidR="00A01C8A">
          <w:rPr>
            <w:noProof/>
          </w:rPr>
          <w:fldChar w:fldCharType="end"/>
        </w:r>
      </w:hyperlink>
    </w:p>
    <w:p w14:paraId="07B58ACA" w14:textId="77777777" w:rsidR="00A01C8A" w:rsidRPr="00D66130" w:rsidRDefault="00A01C8A">
      <w:pPr>
        <w:pStyle w:val="TOC1"/>
        <w:rPr>
          <w:rFonts w:ascii="Calibri" w:eastAsia="Times New Roman" w:hAnsi="Calibri"/>
          <w:caps w:val="0"/>
          <w:noProof/>
          <w:kern w:val="0"/>
          <w:szCs w:val="22"/>
          <w:lang w:val="es-ES" w:eastAsia="es-ES"/>
        </w:rPr>
      </w:pPr>
      <w:hyperlink w:anchor="_Toc60859021" w:history="1">
        <w:r w:rsidRPr="00D2009E">
          <w:rPr>
            <w:rStyle w:val="Hyperlink"/>
            <w:noProof/>
          </w:rPr>
          <w:t>2.</w:t>
        </w:r>
        <w:r w:rsidRPr="00D66130">
          <w:rPr>
            <w:rFonts w:ascii="Calibri" w:eastAsia="Times New Roman" w:hAnsi="Calibri"/>
            <w:caps w:val="0"/>
            <w:noProof/>
            <w:kern w:val="0"/>
            <w:szCs w:val="22"/>
            <w:lang w:val="es-ES" w:eastAsia="es-ES"/>
          </w:rPr>
          <w:tab/>
        </w:r>
        <w:r w:rsidRPr="00D2009E">
          <w:rPr>
            <w:rStyle w:val="Hyperlink"/>
            <w:noProof/>
          </w:rPr>
          <w:t>The Programme</w:t>
        </w:r>
        <w:r>
          <w:rPr>
            <w:noProof/>
          </w:rPr>
          <w:tab/>
        </w:r>
        <w:r>
          <w:rPr>
            <w:noProof/>
          </w:rPr>
          <w:fldChar w:fldCharType="begin"/>
        </w:r>
        <w:r>
          <w:rPr>
            <w:noProof/>
          </w:rPr>
          <w:instrText xml:space="preserve"> PAGEREF _Toc60859021 \h </w:instrText>
        </w:r>
        <w:r>
          <w:rPr>
            <w:noProof/>
          </w:rPr>
        </w:r>
        <w:r>
          <w:rPr>
            <w:noProof/>
          </w:rPr>
          <w:fldChar w:fldCharType="separate"/>
        </w:r>
        <w:r w:rsidR="00C43165">
          <w:rPr>
            <w:noProof/>
          </w:rPr>
          <w:t>2</w:t>
        </w:r>
        <w:r>
          <w:rPr>
            <w:noProof/>
          </w:rPr>
          <w:fldChar w:fldCharType="end"/>
        </w:r>
      </w:hyperlink>
    </w:p>
    <w:p w14:paraId="5A9A280B" w14:textId="77777777" w:rsidR="00A01C8A" w:rsidRPr="00D66130" w:rsidRDefault="00A01C8A">
      <w:pPr>
        <w:pStyle w:val="TOC1"/>
        <w:rPr>
          <w:rFonts w:ascii="Calibri" w:eastAsia="Times New Roman" w:hAnsi="Calibri"/>
          <w:caps w:val="0"/>
          <w:noProof/>
          <w:kern w:val="0"/>
          <w:szCs w:val="22"/>
          <w:lang w:val="es-ES" w:eastAsia="es-ES"/>
        </w:rPr>
      </w:pPr>
      <w:hyperlink w:anchor="_Toc60859022" w:history="1">
        <w:r w:rsidRPr="00D2009E">
          <w:rPr>
            <w:rStyle w:val="Hyperlink"/>
            <w:noProof/>
          </w:rPr>
          <w:t>3.</w:t>
        </w:r>
        <w:r w:rsidRPr="00D66130">
          <w:rPr>
            <w:rFonts w:ascii="Calibri" w:eastAsia="Times New Roman" w:hAnsi="Calibri"/>
            <w:caps w:val="0"/>
            <w:noProof/>
            <w:kern w:val="0"/>
            <w:szCs w:val="22"/>
            <w:lang w:val="es-ES" w:eastAsia="es-ES"/>
          </w:rPr>
          <w:tab/>
        </w:r>
        <w:r w:rsidRPr="00D2009E">
          <w:rPr>
            <w:rStyle w:val="Hyperlink"/>
            <w:noProof/>
          </w:rPr>
          <w:t>Interpretation</w:t>
        </w:r>
        <w:r>
          <w:rPr>
            <w:noProof/>
          </w:rPr>
          <w:tab/>
        </w:r>
        <w:r>
          <w:rPr>
            <w:noProof/>
          </w:rPr>
          <w:fldChar w:fldCharType="begin"/>
        </w:r>
        <w:r>
          <w:rPr>
            <w:noProof/>
          </w:rPr>
          <w:instrText xml:space="preserve"> PAGEREF _Toc60859022 \h </w:instrText>
        </w:r>
        <w:r>
          <w:rPr>
            <w:noProof/>
          </w:rPr>
        </w:r>
        <w:r>
          <w:rPr>
            <w:noProof/>
          </w:rPr>
          <w:fldChar w:fldCharType="separate"/>
        </w:r>
        <w:r w:rsidR="00C43165">
          <w:rPr>
            <w:noProof/>
          </w:rPr>
          <w:t>1</w:t>
        </w:r>
        <w:r>
          <w:rPr>
            <w:noProof/>
          </w:rPr>
          <w:fldChar w:fldCharType="end"/>
        </w:r>
      </w:hyperlink>
    </w:p>
    <w:p w14:paraId="66FF24D5" w14:textId="77777777" w:rsidR="00A01C8A" w:rsidRPr="00D66130" w:rsidRDefault="00A01C8A">
      <w:pPr>
        <w:pStyle w:val="TOC1"/>
        <w:rPr>
          <w:rFonts w:ascii="Calibri" w:eastAsia="Times New Roman" w:hAnsi="Calibri"/>
          <w:caps w:val="0"/>
          <w:noProof/>
          <w:kern w:val="0"/>
          <w:szCs w:val="22"/>
          <w:lang w:val="es-ES" w:eastAsia="es-ES"/>
        </w:rPr>
      </w:pPr>
      <w:hyperlink w:anchor="_Toc60859023" w:history="1">
        <w:r w:rsidRPr="00D2009E">
          <w:rPr>
            <w:rStyle w:val="Hyperlink"/>
            <w:noProof/>
          </w:rPr>
          <w:t>4.</w:t>
        </w:r>
        <w:r w:rsidRPr="00D66130">
          <w:rPr>
            <w:rFonts w:ascii="Calibri" w:eastAsia="Times New Roman" w:hAnsi="Calibri"/>
            <w:caps w:val="0"/>
            <w:noProof/>
            <w:kern w:val="0"/>
            <w:szCs w:val="22"/>
            <w:lang w:val="es-ES" w:eastAsia="es-ES"/>
          </w:rPr>
          <w:tab/>
        </w:r>
        <w:r w:rsidRPr="00D2009E">
          <w:rPr>
            <w:rStyle w:val="Hyperlink"/>
            <w:noProof/>
          </w:rPr>
          <w:t>Settlement Procedures</w:t>
        </w:r>
        <w:r>
          <w:rPr>
            <w:noProof/>
          </w:rPr>
          <w:tab/>
        </w:r>
        <w:r>
          <w:rPr>
            <w:noProof/>
          </w:rPr>
          <w:fldChar w:fldCharType="begin"/>
        </w:r>
        <w:r>
          <w:rPr>
            <w:noProof/>
          </w:rPr>
          <w:instrText xml:space="preserve"> PAGEREF _Toc60859023 \h </w:instrText>
        </w:r>
        <w:r>
          <w:rPr>
            <w:noProof/>
          </w:rPr>
        </w:r>
        <w:r>
          <w:rPr>
            <w:noProof/>
          </w:rPr>
          <w:fldChar w:fldCharType="separate"/>
        </w:r>
        <w:r w:rsidR="00C43165">
          <w:rPr>
            <w:noProof/>
          </w:rPr>
          <w:t>1</w:t>
        </w:r>
        <w:r>
          <w:rPr>
            <w:noProof/>
          </w:rPr>
          <w:fldChar w:fldCharType="end"/>
        </w:r>
      </w:hyperlink>
    </w:p>
    <w:p w14:paraId="6534DC5D" w14:textId="77777777" w:rsidR="00A01C8A" w:rsidRPr="00D66130" w:rsidRDefault="00A01C8A">
      <w:pPr>
        <w:pStyle w:val="TOC1"/>
        <w:rPr>
          <w:rFonts w:ascii="Calibri" w:eastAsia="Times New Roman" w:hAnsi="Calibri"/>
          <w:caps w:val="0"/>
          <w:noProof/>
          <w:kern w:val="0"/>
          <w:szCs w:val="22"/>
          <w:lang w:val="es-ES" w:eastAsia="es-ES"/>
        </w:rPr>
      </w:pPr>
      <w:hyperlink w:anchor="_Toc60859024" w:history="1">
        <w:r w:rsidRPr="00D2009E">
          <w:rPr>
            <w:rStyle w:val="Hyperlink"/>
            <w:noProof/>
          </w:rPr>
          <w:t>5.</w:t>
        </w:r>
        <w:r w:rsidRPr="00D66130">
          <w:rPr>
            <w:rFonts w:ascii="Calibri" w:eastAsia="Times New Roman" w:hAnsi="Calibri"/>
            <w:caps w:val="0"/>
            <w:noProof/>
            <w:kern w:val="0"/>
            <w:szCs w:val="22"/>
            <w:lang w:val="es-ES" w:eastAsia="es-ES"/>
          </w:rPr>
          <w:tab/>
        </w:r>
        <w:r w:rsidRPr="00D2009E">
          <w:rPr>
            <w:rStyle w:val="Hyperlink"/>
            <w:noProof/>
          </w:rPr>
          <w:t>Forms of the Notes</w:t>
        </w:r>
        <w:r>
          <w:rPr>
            <w:noProof/>
          </w:rPr>
          <w:tab/>
        </w:r>
        <w:r>
          <w:rPr>
            <w:noProof/>
          </w:rPr>
          <w:fldChar w:fldCharType="begin"/>
        </w:r>
        <w:r>
          <w:rPr>
            <w:noProof/>
          </w:rPr>
          <w:instrText xml:space="preserve"> PAGEREF _Toc60859024 \h </w:instrText>
        </w:r>
        <w:r>
          <w:rPr>
            <w:noProof/>
          </w:rPr>
        </w:r>
        <w:r>
          <w:rPr>
            <w:noProof/>
          </w:rPr>
          <w:fldChar w:fldCharType="separate"/>
        </w:r>
        <w:r w:rsidR="00C43165">
          <w:rPr>
            <w:noProof/>
          </w:rPr>
          <w:t>2</w:t>
        </w:r>
        <w:r>
          <w:rPr>
            <w:noProof/>
          </w:rPr>
          <w:fldChar w:fldCharType="end"/>
        </w:r>
      </w:hyperlink>
    </w:p>
    <w:p w14:paraId="37F6C596" w14:textId="77777777" w:rsidR="00A01C8A" w:rsidRPr="00D66130" w:rsidRDefault="00A01C8A">
      <w:pPr>
        <w:pStyle w:val="TOC8"/>
        <w:rPr>
          <w:rFonts w:ascii="Calibri" w:eastAsia="Times New Roman" w:hAnsi="Calibri"/>
          <w:caps w:val="0"/>
          <w:noProof/>
          <w:kern w:val="0"/>
          <w:szCs w:val="22"/>
          <w:lang w:val="es-ES" w:eastAsia="es-ES"/>
        </w:rPr>
      </w:pPr>
      <w:hyperlink w:anchor="_Toc60859025" w:history="1">
        <w:r w:rsidRPr="00D2009E">
          <w:rPr>
            <w:rStyle w:val="Hyperlink"/>
            <w:noProof/>
          </w:rPr>
          <w:t>SCHEDULE 1: Settlement Procedures for Non</w:t>
        </w:r>
        <w:r w:rsidRPr="00D2009E">
          <w:rPr>
            <w:rStyle w:val="Hyperlink"/>
            <w:noProof/>
          </w:rPr>
          <w:noBreakHyphen/>
          <w:t>Syndicated Issues of Notes in bearer form</w:t>
        </w:r>
        <w:r>
          <w:rPr>
            <w:noProof/>
          </w:rPr>
          <w:tab/>
        </w:r>
        <w:r>
          <w:rPr>
            <w:noProof/>
          </w:rPr>
          <w:fldChar w:fldCharType="begin"/>
        </w:r>
        <w:r>
          <w:rPr>
            <w:noProof/>
          </w:rPr>
          <w:instrText xml:space="preserve"> PAGEREF _Toc60859025 \h </w:instrText>
        </w:r>
        <w:r>
          <w:rPr>
            <w:noProof/>
          </w:rPr>
        </w:r>
        <w:r>
          <w:rPr>
            <w:noProof/>
          </w:rPr>
          <w:fldChar w:fldCharType="separate"/>
        </w:r>
        <w:r w:rsidR="00C43165">
          <w:rPr>
            <w:noProof/>
          </w:rPr>
          <w:t>4</w:t>
        </w:r>
        <w:r>
          <w:rPr>
            <w:noProof/>
          </w:rPr>
          <w:fldChar w:fldCharType="end"/>
        </w:r>
      </w:hyperlink>
    </w:p>
    <w:p w14:paraId="1106D141" w14:textId="77777777" w:rsidR="00A01C8A" w:rsidRPr="00D66130" w:rsidRDefault="00A01C8A">
      <w:pPr>
        <w:pStyle w:val="TOC8"/>
        <w:rPr>
          <w:rFonts w:ascii="Calibri" w:eastAsia="Times New Roman" w:hAnsi="Calibri"/>
          <w:caps w:val="0"/>
          <w:noProof/>
          <w:kern w:val="0"/>
          <w:szCs w:val="22"/>
          <w:lang w:val="es-ES" w:eastAsia="es-ES"/>
        </w:rPr>
      </w:pPr>
      <w:hyperlink w:anchor="_Toc60859026" w:history="1">
        <w:r w:rsidRPr="00D2009E">
          <w:rPr>
            <w:rStyle w:val="Hyperlink"/>
            <w:noProof/>
          </w:rPr>
          <w:t>SCHEDULE 2: Settlement Procedures for Syndicated Issues of Notes in bearer form</w:t>
        </w:r>
        <w:r>
          <w:rPr>
            <w:noProof/>
          </w:rPr>
          <w:tab/>
        </w:r>
        <w:r>
          <w:rPr>
            <w:noProof/>
          </w:rPr>
          <w:fldChar w:fldCharType="begin"/>
        </w:r>
        <w:r>
          <w:rPr>
            <w:noProof/>
          </w:rPr>
          <w:instrText xml:space="preserve"> PAGEREF _Toc60859026 \h </w:instrText>
        </w:r>
        <w:r>
          <w:rPr>
            <w:noProof/>
          </w:rPr>
        </w:r>
        <w:r>
          <w:rPr>
            <w:noProof/>
          </w:rPr>
          <w:fldChar w:fldCharType="separate"/>
        </w:r>
        <w:r w:rsidR="00C43165">
          <w:rPr>
            <w:noProof/>
          </w:rPr>
          <w:t>7</w:t>
        </w:r>
        <w:r>
          <w:rPr>
            <w:noProof/>
          </w:rPr>
          <w:fldChar w:fldCharType="end"/>
        </w:r>
      </w:hyperlink>
    </w:p>
    <w:p w14:paraId="4D966236" w14:textId="77777777" w:rsidR="00A01C8A" w:rsidRPr="00D66130" w:rsidRDefault="00A01C8A">
      <w:pPr>
        <w:pStyle w:val="TOC8"/>
        <w:rPr>
          <w:rFonts w:ascii="Calibri" w:eastAsia="Times New Roman" w:hAnsi="Calibri"/>
          <w:caps w:val="0"/>
          <w:noProof/>
          <w:kern w:val="0"/>
          <w:szCs w:val="22"/>
          <w:lang w:val="es-ES" w:eastAsia="es-ES"/>
        </w:rPr>
      </w:pPr>
      <w:hyperlink w:anchor="_Toc60859027" w:history="1">
        <w:r w:rsidRPr="00D2009E">
          <w:rPr>
            <w:rStyle w:val="Hyperlink"/>
            <w:noProof/>
          </w:rPr>
          <w:t>SCHEDULE 3: Form of Final Terms</w:t>
        </w:r>
        <w:r>
          <w:rPr>
            <w:noProof/>
          </w:rPr>
          <w:tab/>
        </w:r>
        <w:r>
          <w:rPr>
            <w:noProof/>
          </w:rPr>
          <w:fldChar w:fldCharType="begin"/>
        </w:r>
        <w:r>
          <w:rPr>
            <w:noProof/>
          </w:rPr>
          <w:instrText xml:space="preserve"> PAGEREF _Toc60859027 \h </w:instrText>
        </w:r>
        <w:r>
          <w:rPr>
            <w:noProof/>
          </w:rPr>
        </w:r>
        <w:r>
          <w:rPr>
            <w:noProof/>
          </w:rPr>
          <w:fldChar w:fldCharType="separate"/>
        </w:r>
        <w:r w:rsidR="00C43165">
          <w:rPr>
            <w:noProof/>
          </w:rPr>
          <w:t>10</w:t>
        </w:r>
        <w:r>
          <w:rPr>
            <w:noProof/>
          </w:rPr>
          <w:fldChar w:fldCharType="end"/>
        </w:r>
      </w:hyperlink>
    </w:p>
    <w:p w14:paraId="1D4282EB" w14:textId="77777777" w:rsidR="00A01C8A" w:rsidRPr="00D66130" w:rsidRDefault="00A01C8A">
      <w:pPr>
        <w:pStyle w:val="TOC9"/>
        <w:rPr>
          <w:rFonts w:ascii="Calibri" w:eastAsia="Times New Roman" w:hAnsi="Calibri"/>
          <w:noProof/>
          <w:kern w:val="0"/>
          <w:szCs w:val="22"/>
          <w:lang w:val="es-ES" w:eastAsia="es-ES"/>
        </w:rPr>
      </w:pPr>
      <w:hyperlink w:anchor="_Toc60859028" w:history="1">
        <w:r w:rsidRPr="00D2009E">
          <w:rPr>
            <w:rStyle w:val="Hyperlink"/>
            <w:noProof/>
          </w:rPr>
          <w:t>PART A - CONTRACTUAL TERMS</w:t>
        </w:r>
        <w:r>
          <w:rPr>
            <w:noProof/>
          </w:rPr>
          <w:tab/>
        </w:r>
        <w:r>
          <w:rPr>
            <w:noProof/>
          </w:rPr>
          <w:fldChar w:fldCharType="begin"/>
        </w:r>
        <w:r>
          <w:rPr>
            <w:noProof/>
          </w:rPr>
          <w:instrText xml:space="preserve"> PAGEREF _Toc60859028 \h </w:instrText>
        </w:r>
        <w:r>
          <w:rPr>
            <w:noProof/>
          </w:rPr>
        </w:r>
        <w:r>
          <w:rPr>
            <w:noProof/>
          </w:rPr>
          <w:fldChar w:fldCharType="separate"/>
        </w:r>
        <w:r w:rsidR="00C43165">
          <w:rPr>
            <w:noProof/>
          </w:rPr>
          <w:t>11</w:t>
        </w:r>
        <w:r>
          <w:rPr>
            <w:noProof/>
          </w:rPr>
          <w:fldChar w:fldCharType="end"/>
        </w:r>
      </w:hyperlink>
    </w:p>
    <w:p w14:paraId="1BA527EC" w14:textId="77777777" w:rsidR="00A01C8A" w:rsidRPr="00D66130" w:rsidRDefault="00A01C8A">
      <w:pPr>
        <w:pStyle w:val="TOC8"/>
        <w:rPr>
          <w:rFonts w:ascii="Calibri" w:eastAsia="Times New Roman" w:hAnsi="Calibri"/>
          <w:caps w:val="0"/>
          <w:noProof/>
          <w:kern w:val="0"/>
          <w:szCs w:val="22"/>
          <w:lang w:val="es-ES" w:eastAsia="es-ES"/>
        </w:rPr>
      </w:pPr>
      <w:hyperlink w:anchor="_Toc60859029" w:history="1">
        <w:r w:rsidRPr="00D2009E">
          <w:rPr>
            <w:rStyle w:val="Hyperlink"/>
            <w:noProof/>
          </w:rPr>
          <w:t>SCHEDULE 4: Form of Dealer Accession Letter</w:t>
        </w:r>
        <w:r>
          <w:rPr>
            <w:noProof/>
          </w:rPr>
          <w:tab/>
        </w:r>
        <w:r>
          <w:rPr>
            <w:noProof/>
          </w:rPr>
          <w:fldChar w:fldCharType="begin"/>
        </w:r>
        <w:r>
          <w:rPr>
            <w:noProof/>
          </w:rPr>
          <w:instrText xml:space="preserve"> PAGEREF _Toc60859029 \h </w:instrText>
        </w:r>
        <w:r>
          <w:rPr>
            <w:noProof/>
          </w:rPr>
        </w:r>
        <w:r>
          <w:rPr>
            <w:noProof/>
          </w:rPr>
          <w:fldChar w:fldCharType="separate"/>
        </w:r>
        <w:r w:rsidR="00C43165">
          <w:rPr>
            <w:noProof/>
          </w:rPr>
          <w:t>22</w:t>
        </w:r>
        <w:r>
          <w:rPr>
            <w:noProof/>
          </w:rPr>
          <w:fldChar w:fldCharType="end"/>
        </w:r>
      </w:hyperlink>
    </w:p>
    <w:p w14:paraId="29F94534" w14:textId="77777777" w:rsidR="00A01C8A" w:rsidRPr="00D66130" w:rsidRDefault="00A01C8A">
      <w:pPr>
        <w:pStyle w:val="TOC8"/>
        <w:rPr>
          <w:rFonts w:ascii="Calibri" w:eastAsia="Times New Roman" w:hAnsi="Calibri"/>
          <w:caps w:val="0"/>
          <w:noProof/>
          <w:kern w:val="0"/>
          <w:szCs w:val="22"/>
          <w:lang w:val="es-ES" w:eastAsia="es-ES"/>
        </w:rPr>
      </w:pPr>
      <w:hyperlink w:anchor="_Toc60859030" w:history="1">
        <w:r w:rsidRPr="00D2009E">
          <w:rPr>
            <w:rStyle w:val="Hyperlink"/>
            <w:noProof/>
          </w:rPr>
          <w:t>SCHEDULE 5: Form of Notice of increase of Authorised Amount</w:t>
        </w:r>
        <w:r>
          <w:rPr>
            <w:noProof/>
          </w:rPr>
          <w:tab/>
        </w:r>
        <w:r>
          <w:rPr>
            <w:noProof/>
          </w:rPr>
          <w:fldChar w:fldCharType="begin"/>
        </w:r>
        <w:r>
          <w:rPr>
            <w:noProof/>
          </w:rPr>
          <w:instrText xml:space="preserve"> PAGEREF _Toc60859030 \h </w:instrText>
        </w:r>
        <w:r>
          <w:rPr>
            <w:noProof/>
          </w:rPr>
        </w:r>
        <w:r>
          <w:rPr>
            <w:noProof/>
          </w:rPr>
          <w:fldChar w:fldCharType="separate"/>
        </w:r>
        <w:r w:rsidR="00C43165">
          <w:rPr>
            <w:noProof/>
          </w:rPr>
          <w:t>24</w:t>
        </w:r>
        <w:r>
          <w:rPr>
            <w:noProof/>
          </w:rPr>
          <w:fldChar w:fldCharType="end"/>
        </w:r>
      </w:hyperlink>
    </w:p>
    <w:p w14:paraId="5AE0A5C5" w14:textId="77777777" w:rsidR="00A01C8A" w:rsidRPr="00D66130" w:rsidRDefault="00A01C8A">
      <w:pPr>
        <w:pStyle w:val="TOC8"/>
        <w:rPr>
          <w:rFonts w:ascii="Calibri" w:eastAsia="Times New Roman" w:hAnsi="Calibri"/>
          <w:caps w:val="0"/>
          <w:noProof/>
          <w:kern w:val="0"/>
          <w:szCs w:val="22"/>
          <w:lang w:val="es-ES" w:eastAsia="es-ES"/>
        </w:rPr>
      </w:pPr>
      <w:hyperlink w:anchor="_Toc60859031" w:history="1">
        <w:r w:rsidRPr="00D2009E">
          <w:rPr>
            <w:rStyle w:val="Hyperlink"/>
            <w:noProof/>
          </w:rPr>
          <w:t>SCHEDULE 6: Notice and contact det</w:t>
        </w:r>
        <w:r w:rsidRPr="00D2009E">
          <w:rPr>
            <w:rStyle w:val="Hyperlink"/>
            <w:noProof/>
          </w:rPr>
          <w:t>a</w:t>
        </w:r>
        <w:r w:rsidRPr="00D2009E">
          <w:rPr>
            <w:rStyle w:val="Hyperlink"/>
            <w:noProof/>
          </w:rPr>
          <w:t>ils</w:t>
        </w:r>
        <w:r>
          <w:rPr>
            <w:noProof/>
          </w:rPr>
          <w:tab/>
        </w:r>
        <w:r>
          <w:rPr>
            <w:noProof/>
          </w:rPr>
          <w:fldChar w:fldCharType="begin"/>
        </w:r>
        <w:r>
          <w:rPr>
            <w:noProof/>
          </w:rPr>
          <w:instrText xml:space="preserve"> PAGEREF _Toc60859031 \h </w:instrText>
        </w:r>
        <w:r>
          <w:rPr>
            <w:noProof/>
          </w:rPr>
        </w:r>
        <w:r>
          <w:rPr>
            <w:noProof/>
          </w:rPr>
          <w:fldChar w:fldCharType="separate"/>
        </w:r>
        <w:r w:rsidR="00C43165">
          <w:rPr>
            <w:noProof/>
          </w:rPr>
          <w:t>25</w:t>
        </w:r>
        <w:r>
          <w:rPr>
            <w:noProof/>
          </w:rPr>
          <w:fldChar w:fldCharType="end"/>
        </w:r>
      </w:hyperlink>
    </w:p>
    <w:p w14:paraId="77445426" w14:textId="77777777" w:rsidR="00A01C8A" w:rsidRPr="00D66130" w:rsidRDefault="00A01C8A">
      <w:pPr>
        <w:pStyle w:val="TOC8"/>
        <w:rPr>
          <w:rFonts w:ascii="Calibri" w:eastAsia="Times New Roman" w:hAnsi="Calibri"/>
          <w:caps w:val="0"/>
          <w:noProof/>
          <w:kern w:val="0"/>
          <w:szCs w:val="22"/>
          <w:lang w:val="es-ES" w:eastAsia="es-ES"/>
        </w:rPr>
      </w:pPr>
      <w:hyperlink w:anchor="_Toc60859032" w:history="1">
        <w:r w:rsidRPr="00D2009E">
          <w:rPr>
            <w:rStyle w:val="Hyperlink"/>
            <w:noProof/>
          </w:rPr>
          <w:t>SCHEDULE 7: Form of Temporary Global Note</w:t>
        </w:r>
        <w:r>
          <w:rPr>
            <w:noProof/>
          </w:rPr>
          <w:tab/>
        </w:r>
        <w:r>
          <w:rPr>
            <w:noProof/>
          </w:rPr>
          <w:fldChar w:fldCharType="begin"/>
        </w:r>
        <w:r>
          <w:rPr>
            <w:noProof/>
          </w:rPr>
          <w:instrText xml:space="preserve"> PAGEREF _Toc60859032 \h </w:instrText>
        </w:r>
        <w:r>
          <w:rPr>
            <w:noProof/>
          </w:rPr>
        </w:r>
        <w:r>
          <w:rPr>
            <w:noProof/>
          </w:rPr>
          <w:fldChar w:fldCharType="separate"/>
        </w:r>
        <w:r w:rsidR="00C43165">
          <w:rPr>
            <w:noProof/>
          </w:rPr>
          <w:t>29</w:t>
        </w:r>
        <w:r>
          <w:rPr>
            <w:noProof/>
          </w:rPr>
          <w:fldChar w:fldCharType="end"/>
        </w:r>
      </w:hyperlink>
    </w:p>
    <w:p w14:paraId="135D30FD" w14:textId="77777777" w:rsidR="00A01C8A" w:rsidRPr="00D66130" w:rsidRDefault="00A01C8A">
      <w:pPr>
        <w:pStyle w:val="TOC8"/>
        <w:rPr>
          <w:rFonts w:ascii="Calibri" w:eastAsia="Times New Roman" w:hAnsi="Calibri"/>
          <w:caps w:val="0"/>
          <w:noProof/>
          <w:kern w:val="0"/>
          <w:szCs w:val="22"/>
          <w:lang w:val="es-ES" w:eastAsia="es-ES"/>
        </w:rPr>
      </w:pPr>
      <w:hyperlink w:anchor="_Toc60859033" w:history="1">
        <w:r w:rsidRPr="00D2009E">
          <w:rPr>
            <w:rStyle w:val="Hyperlink"/>
            <w:noProof/>
          </w:rPr>
          <w:t>SCHEDULE 8: Form of Permanent Global Note</w:t>
        </w:r>
        <w:r>
          <w:rPr>
            <w:noProof/>
          </w:rPr>
          <w:tab/>
        </w:r>
        <w:r>
          <w:rPr>
            <w:noProof/>
          </w:rPr>
          <w:fldChar w:fldCharType="begin"/>
        </w:r>
        <w:r>
          <w:rPr>
            <w:noProof/>
          </w:rPr>
          <w:instrText xml:space="preserve"> PAGEREF _Toc60859033 \h </w:instrText>
        </w:r>
        <w:r>
          <w:rPr>
            <w:noProof/>
          </w:rPr>
        </w:r>
        <w:r>
          <w:rPr>
            <w:noProof/>
          </w:rPr>
          <w:fldChar w:fldCharType="separate"/>
        </w:r>
        <w:r w:rsidR="00C43165">
          <w:rPr>
            <w:noProof/>
          </w:rPr>
          <w:t>43</w:t>
        </w:r>
        <w:r>
          <w:rPr>
            <w:noProof/>
          </w:rPr>
          <w:fldChar w:fldCharType="end"/>
        </w:r>
      </w:hyperlink>
    </w:p>
    <w:p w14:paraId="792D250F" w14:textId="77777777" w:rsidR="00A01C8A" w:rsidRPr="00D66130" w:rsidRDefault="00A01C8A">
      <w:pPr>
        <w:pStyle w:val="TOC8"/>
        <w:rPr>
          <w:rFonts w:ascii="Calibri" w:eastAsia="Times New Roman" w:hAnsi="Calibri"/>
          <w:caps w:val="0"/>
          <w:noProof/>
          <w:kern w:val="0"/>
          <w:szCs w:val="22"/>
          <w:lang w:val="es-ES" w:eastAsia="es-ES"/>
        </w:rPr>
      </w:pPr>
      <w:hyperlink w:anchor="_Toc60859034" w:history="1">
        <w:r w:rsidRPr="00D2009E">
          <w:rPr>
            <w:rStyle w:val="Hyperlink"/>
            <w:noProof/>
          </w:rPr>
          <w:t>SCHEDULE 9: Form of Definitive Note</w:t>
        </w:r>
        <w:r>
          <w:rPr>
            <w:noProof/>
          </w:rPr>
          <w:tab/>
        </w:r>
        <w:r>
          <w:rPr>
            <w:noProof/>
          </w:rPr>
          <w:fldChar w:fldCharType="begin"/>
        </w:r>
        <w:r>
          <w:rPr>
            <w:noProof/>
          </w:rPr>
          <w:instrText xml:space="preserve"> PAGEREF _Toc60859034 \h </w:instrText>
        </w:r>
        <w:r>
          <w:rPr>
            <w:noProof/>
          </w:rPr>
        </w:r>
        <w:r>
          <w:rPr>
            <w:noProof/>
          </w:rPr>
          <w:fldChar w:fldCharType="separate"/>
        </w:r>
        <w:r w:rsidR="00C43165">
          <w:rPr>
            <w:noProof/>
          </w:rPr>
          <w:t>52</w:t>
        </w:r>
        <w:r>
          <w:rPr>
            <w:noProof/>
          </w:rPr>
          <w:fldChar w:fldCharType="end"/>
        </w:r>
      </w:hyperlink>
    </w:p>
    <w:p w14:paraId="53F3B7C5" w14:textId="77777777" w:rsidR="007409E1" w:rsidRDefault="007409E1">
      <w:r>
        <w:fldChar w:fldCharType="end"/>
      </w:r>
    </w:p>
    <w:p w14:paraId="47DDDC34" w14:textId="77777777" w:rsidR="007409E1" w:rsidRDefault="007409E1"/>
    <w:p w14:paraId="2555965A" w14:textId="77777777" w:rsidR="007409E1" w:rsidRDefault="007409E1">
      <w:bookmarkStart w:id="4" w:name="TOCAppendicesField"/>
      <w:bookmarkEnd w:id="4"/>
    </w:p>
    <w:p w14:paraId="5F75BDE8" w14:textId="77777777" w:rsidR="007409E1" w:rsidRDefault="007409E1"/>
    <w:p w14:paraId="4303447F" w14:textId="77777777" w:rsidR="007409E1" w:rsidRDefault="007409E1">
      <w:pPr>
        <w:sectPr w:rsidR="007409E1">
          <w:footerReference w:type="default" r:id="rId14"/>
          <w:footerReference w:type="first" r:id="rId15"/>
          <w:endnotePr>
            <w:numFmt w:val="decimal"/>
          </w:endnotePr>
          <w:pgSz w:w="11909" w:h="16834" w:code="9"/>
          <w:pgMar w:top="1440" w:right="1440" w:bottom="1800" w:left="1440" w:header="720" w:footer="720" w:gutter="0"/>
          <w:pgNumType w:start="1"/>
          <w:cols w:space="720"/>
          <w:noEndnote/>
        </w:sectPr>
      </w:pPr>
      <w:r>
        <w:br w:type="page"/>
      </w:r>
    </w:p>
    <w:p w14:paraId="6F67A675" w14:textId="77777777" w:rsidR="007409E1" w:rsidRDefault="007409E1">
      <w:pPr>
        <w:sectPr w:rsidR="007409E1">
          <w:footerReference w:type="default" r:id="rId16"/>
          <w:endnotePr>
            <w:numFmt w:val="decimal"/>
          </w:endnotePr>
          <w:type w:val="continuous"/>
          <w:pgSz w:w="11909" w:h="16834" w:code="9"/>
          <w:pgMar w:top="1440" w:right="1440" w:bottom="1800" w:left="1440" w:header="720" w:footer="720" w:gutter="0"/>
          <w:pgNumType w:start="0"/>
          <w:cols w:space="720"/>
          <w:noEndnote/>
        </w:sectPr>
      </w:pPr>
    </w:p>
    <w:p w14:paraId="7669CD0A" w14:textId="77777777" w:rsidR="007409E1" w:rsidRDefault="007409E1">
      <w:pPr>
        <w:pStyle w:val="Heading1"/>
      </w:pPr>
      <w:bookmarkStart w:id="5" w:name="_Toc60859020"/>
      <w:r>
        <w:t>Signed for Identification</w:t>
      </w:r>
      <w:bookmarkEnd w:id="5"/>
    </w:p>
    <w:p w14:paraId="53EBE042" w14:textId="77777777" w:rsidR="007409E1" w:rsidRDefault="007409E1">
      <w:pPr>
        <w:pStyle w:val="BodyTextIndent"/>
      </w:pPr>
      <w:r>
        <w:rPr>
          <w:b/>
        </w:rPr>
        <w:t xml:space="preserve">SIGNED </w:t>
      </w:r>
      <w:r>
        <w:t>for the purposes of identifying this Programme Manual as the Programme Manual referred to in the Programme Documents defined below:</w:t>
      </w:r>
    </w:p>
    <w:p w14:paraId="1B0725E9" w14:textId="77777777" w:rsidR="007409E1" w:rsidRDefault="007409E1">
      <w:pPr>
        <w:pStyle w:val="BodyTextIndent"/>
      </w:pPr>
      <w:r>
        <w:t>For and on behalf of</w:t>
      </w:r>
    </w:p>
    <w:p w14:paraId="7C461EA1" w14:textId="77777777" w:rsidR="007409E1" w:rsidRDefault="007409E1">
      <w:pPr>
        <w:pStyle w:val="BodyTextIndent"/>
        <w:rPr>
          <w:b/>
        </w:rPr>
      </w:pPr>
      <w:r>
        <w:rPr>
          <w:b/>
        </w:rPr>
        <w:t>ADIF</w:t>
      </w:r>
      <w:r>
        <w:rPr>
          <w:b/>
        </w:rPr>
        <w:noBreakHyphen/>
        <w:t>ALTA VELOCIDAD</w:t>
      </w:r>
    </w:p>
    <w:p w14:paraId="2911EF2A" w14:textId="77777777" w:rsidR="007409E1" w:rsidRDefault="007409E1">
      <w:pPr>
        <w:pStyle w:val="BodyTextIndent"/>
        <w:numPr>
          <w:ilvl w:val="0"/>
          <w:numId w:val="0"/>
        </w:numPr>
        <w:ind w:left="720"/>
      </w:pPr>
    </w:p>
    <w:p w14:paraId="3010EEA8" w14:textId="77777777" w:rsidR="007409E1" w:rsidRDefault="007409E1">
      <w:pPr>
        <w:pStyle w:val="BodyTextIndent"/>
        <w:numPr>
          <w:ilvl w:val="0"/>
          <w:numId w:val="0"/>
        </w:numPr>
        <w:tabs>
          <w:tab w:val="left" w:pos="5400"/>
        </w:tabs>
        <w:ind w:left="720"/>
      </w:pPr>
      <w:r>
        <w:t>By:</w:t>
      </w:r>
      <w:r>
        <w:tab/>
        <w:t>By:</w:t>
      </w:r>
    </w:p>
    <w:p w14:paraId="14A0790D" w14:textId="77777777" w:rsidR="007409E1" w:rsidRDefault="007409E1">
      <w:pPr>
        <w:pStyle w:val="BodyTextIndent"/>
        <w:numPr>
          <w:ilvl w:val="0"/>
          <w:numId w:val="0"/>
        </w:numPr>
        <w:tabs>
          <w:tab w:val="left" w:pos="5400"/>
        </w:tabs>
        <w:ind w:left="720"/>
      </w:pPr>
    </w:p>
    <w:p w14:paraId="6B50AF47" w14:textId="77777777" w:rsidR="007409E1" w:rsidRDefault="007409E1">
      <w:pPr>
        <w:pStyle w:val="BodyTextIndent"/>
        <w:numPr>
          <w:ilvl w:val="0"/>
          <w:numId w:val="0"/>
        </w:numPr>
        <w:tabs>
          <w:tab w:val="left" w:pos="5400"/>
        </w:tabs>
        <w:ind w:left="720"/>
      </w:pPr>
      <w:r>
        <w:t>For and on behalf of</w:t>
      </w:r>
    </w:p>
    <w:p w14:paraId="1161228B" w14:textId="77777777" w:rsidR="007409E1" w:rsidRDefault="007409E1">
      <w:pPr>
        <w:pStyle w:val="BodyTextIndent"/>
        <w:numPr>
          <w:ilvl w:val="0"/>
          <w:numId w:val="0"/>
        </w:numPr>
        <w:tabs>
          <w:tab w:val="left" w:pos="5400"/>
        </w:tabs>
        <w:ind w:left="720"/>
        <w:rPr>
          <w:b/>
        </w:rPr>
      </w:pPr>
      <w:r>
        <w:rPr>
          <w:b/>
        </w:rPr>
        <w:t>BNP PARIBAS, LUXEMBOURG BRANCH</w:t>
      </w:r>
    </w:p>
    <w:p w14:paraId="5676E9C3" w14:textId="77777777" w:rsidR="007409E1" w:rsidRDefault="007409E1">
      <w:pPr>
        <w:pStyle w:val="BodyTextIndent"/>
        <w:numPr>
          <w:ilvl w:val="0"/>
          <w:numId w:val="0"/>
        </w:numPr>
        <w:tabs>
          <w:tab w:val="left" w:pos="5400"/>
        </w:tabs>
        <w:ind w:left="720"/>
      </w:pPr>
    </w:p>
    <w:p w14:paraId="2AF2D1AE" w14:textId="77777777" w:rsidR="007409E1" w:rsidRDefault="007409E1">
      <w:pPr>
        <w:pStyle w:val="BodyTextIndent"/>
        <w:numPr>
          <w:ilvl w:val="0"/>
          <w:numId w:val="0"/>
        </w:numPr>
        <w:tabs>
          <w:tab w:val="left" w:pos="5400"/>
        </w:tabs>
        <w:ind w:left="720"/>
      </w:pPr>
      <w:r>
        <w:t>By:</w:t>
      </w:r>
    </w:p>
    <w:p w14:paraId="4062D302" w14:textId="77777777" w:rsidR="007409E1" w:rsidRDefault="007409E1">
      <w:pPr>
        <w:pStyle w:val="BodyTextIndent"/>
        <w:numPr>
          <w:ilvl w:val="0"/>
          <w:numId w:val="0"/>
        </w:numPr>
        <w:tabs>
          <w:tab w:val="left" w:pos="5400"/>
        </w:tabs>
        <w:ind w:left="720"/>
        <w:rPr>
          <w:b/>
        </w:rPr>
      </w:pPr>
      <w:r>
        <w:rPr>
          <w:b/>
        </w:rPr>
        <w:t xml:space="preserve">DATED: </w:t>
      </w:r>
      <w:r w:rsidR="00C43165">
        <w:rPr>
          <w:b/>
        </w:rPr>
        <w:t>11</w:t>
      </w:r>
      <w:r w:rsidR="00BC16C1">
        <w:rPr>
          <w:b/>
        </w:rPr>
        <w:t xml:space="preserve"> April</w:t>
      </w:r>
      <w:r w:rsidR="00287E9A">
        <w:rPr>
          <w:b/>
        </w:rPr>
        <w:t xml:space="preserve"> </w:t>
      </w:r>
      <w:r w:rsidR="00D620EA">
        <w:rPr>
          <w:b/>
        </w:rPr>
        <w:t>202</w:t>
      </w:r>
      <w:r w:rsidR="00287E9A">
        <w:rPr>
          <w:b/>
        </w:rPr>
        <w:t>3</w:t>
      </w:r>
    </w:p>
    <w:p w14:paraId="2A45C28E" w14:textId="77777777" w:rsidR="007409E1" w:rsidRDefault="007409E1">
      <w:pPr>
        <w:pStyle w:val="BodyTextIndent"/>
        <w:numPr>
          <w:ilvl w:val="0"/>
          <w:numId w:val="0"/>
        </w:numPr>
        <w:tabs>
          <w:tab w:val="left" w:pos="5400"/>
        </w:tabs>
        <w:ind w:left="720"/>
        <w:rPr>
          <w:b/>
        </w:rPr>
      </w:pPr>
    </w:p>
    <w:p w14:paraId="5145785C" w14:textId="77777777" w:rsidR="007409E1" w:rsidRDefault="007409E1">
      <w:pPr>
        <w:pStyle w:val="Heading1"/>
      </w:pPr>
      <w:bookmarkStart w:id="6" w:name="_Toc60859021"/>
      <w:r>
        <w:t>The Programme</w:t>
      </w:r>
      <w:bookmarkEnd w:id="6"/>
    </w:p>
    <w:p w14:paraId="712732CB" w14:textId="77777777" w:rsidR="007409E1" w:rsidRDefault="007409E1">
      <w:pPr>
        <w:pStyle w:val="Heading2"/>
      </w:pPr>
      <w:r>
        <w:t>The Programme Documents</w:t>
      </w:r>
    </w:p>
    <w:p w14:paraId="07D479A1" w14:textId="77777777" w:rsidR="007409E1" w:rsidRDefault="007409E1">
      <w:pPr>
        <w:pStyle w:val="BodyTextIndent2"/>
      </w:pPr>
      <w:r>
        <w:t>ADIF</w:t>
      </w:r>
      <w:r>
        <w:noBreakHyphen/>
        <w:t xml:space="preserve">Alta Velocidad (the </w:t>
      </w:r>
      <w:r>
        <w:rPr>
          <w:b/>
        </w:rPr>
        <w:t>"Issuer"</w:t>
      </w:r>
      <w:r>
        <w:t xml:space="preserve">) has established a Euro Medium Term Note Programme (the </w:t>
      </w:r>
      <w:r>
        <w:rPr>
          <w:b/>
        </w:rPr>
        <w:t>"Programme"</w:t>
      </w:r>
      <w:r>
        <w:t xml:space="preserve">) for the issuance of notes (the </w:t>
      </w:r>
      <w:r>
        <w:rPr>
          <w:b/>
        </w:rPr>
        <w:t>"Notes"</w:t>
      </w:r>
      <w:r>
        <w:t>), in connection with which they have entered into an amended and restated dealer agreement dated</w:t>
      </w:r>
      <w:r w:rsidR="00D620EA">
        <w:t xml:space="preserve"> </w:t>
      </w:r>
      <w:r w:rsidR="00C43165">
        <w:t>11</w:t>
      </w:r>
      <w:r w:rsidR="00BC16C1">
        <w:t xml:space="preserve"> April </w:t>
      </w:r>
      <w:r w:rsidR="00232A6F">
        <w:t>202</w:t>
      </w:r>
      <w:r w:rsidR="006018E0">
        <w:t>3</w:t>
      </w:r>
      <w:r>
        <w:t xml:space="preserve">, as the same may be amended, restated, supplemented or replaced from time to time (the </w:t>
      </w:r>
      <w:r>
        <w:rPr>
          <w:b/>
        </w:rPr>
        <w:t>"Dealer Agreement"</w:t>
      </w:r>
      <w:r>
        <w:t xml:space="preserve">) and an amended and restated fiscal agency agreement dated </w:t>
      </w:r>
      <w:r w:rsidR="00C43165">
        <w:t>11</w:t>
      </w:r>
      <w:r w:rsidR="00BC16C1">
        <w:t xml:space="preserve"> April </w:t>
      </w:r>
      <w:r w:rsidR="006018E0">
        <w:t>2023</w:t>
      </w:r>
      <w:r>
        <w:t xml:space="preserve">, as the same may be amended, restated, supplemented or replaced from time to time (the </w:t>
      </w:r>
      <w:r>
        <w:rPr>
          <w:b/>
        </w:rPr>
        <w:t>"Agency Agreement"</w:t>
      </w:r>
      <w:r>
        <w:t xml:space="preserve">).  The Issuer has executed a deed of covenant dated </w:t>
      </w:r>
      <w:r w:rsidR="00C43165">
        <w:t>11</w:t>
      </w:r>
      <w:r w:rsidR="00BC16C1">
        <w:t xml:space="preserve"> April </w:t>
      </w:r>
      <w:r w:rsidR="006018E0">
        <w:t>2023</w:t>
      </w:r>
      <w:r>
        <w:t xml:space="preserve"> (the </w:t>
      </w:r>
      <w:r>
        <w:rPr>
          <w:b/>
        </w:rPr>
        <w:t>"Deed of Covenant"</w:t>
      </w:r>
      <w:r>
        <w:t>).</w:t>
      </w:r>
    </w:p>
    <w:p w14:paraId="7D4ACDE8" w14:textId="77777777" w:rsidR="007409E1" w:rsidRDefault="007409E1">
      <w:pPr>
        <w:pStyle w:val="Heading2"/>
      </w:pPr>
      <w:r>
        <w:t>Central Bank of Ireland/Irish Stock Exchange</w:t>
      </w:r>
    </w:p>
    <w:p w14:paraId="39CA34DE" w14:textId="77777777" w:rsidR="007409E1" w:rsidRDefault="007409E1">
      <w:pPr>
        <w:pStyle w:val="BodyTextIndent2"/>
      </w:pPr>
      <w:r>
        <w:t>The Issuer has made applications to the Irish Stock Exchange trading as Euronext Dublin (</w:t>
      </w:r>
      <w:r>
        <w:rPr>
          <w:b/>
        </w:rPr>
        <w:t>"Euronext Dublin"</w:t>
      </w:r>
      <w:r>
        <w:t xml:space="preserve">) for Notes issued under the Programme to be admitted to its official list (the </w:t>
      </w:r>
      <w:r>
        <w:rPr>
          <w:b/>
        </w:rPr>
        <w:t>"Official List"</w:t>
      </w:r>
      <w:r>
        <w:t xml:space="preserve">) and to trading on its regulated market (the </w:t>
      </w:r>
      <w:r>
        <w:rPr>
          <w:b/>
        </w:rPr>
        <w:t>"</w:t>
      </w:r>
      <w:r w:rsidR="006114A1">
        <w:rPr>
          <w:b/>
        </w:rPr>
        <w:t xml:space="preserve">Regulated </w:t>
      </w:r>
      <w:r>
        <w:rPr>
          <w:b/>
        </w:rPr>
        <w:t>Market"</w:t>
      </w:r>
      <w:r>
        <w:t>).  Notes may also be issued on the basis that they will be admitted to listing, trading and/or quotation by such other or further competent authorities, stock exchanges and/or quotation systems as may be agreed with the Issuer.</w:t>
      </w:r>
    </w:p>
    <w:p w14:paraId="1D5AFE98" w14:textId="77777777" w:rsidR="007409E1" w:rsidRDefault="007409E1">
      <w:pPr>
        <w:pStyle w:val="Heading2"/>
      </w:pPr>
      <w:r>
        <w:lastRenderedPageBreak/>
        <w:t>Base Prospectus</w:t>
      </w:r>
    </w:p>
    <w:p w14:paraId="46E5CDCF" w14:textId="77777777" w:rsidR="007409E1" w:rsidRDefault="007409E1">
      <w:pPr>
        <w:pStyle w:val="BodyTextIndent2"/>
      </w:pPr>
      <w:r>
        <w:t>In connection with the Programme, the Issuer has prepared a base prospectus dated</w:t>
      </w:r>
      <w:r w:rsidR="00C43165">
        <w:t xml:space="preserve"> 11</w:t>
      </w:r>
      <w:r w:rsidR="00BC16C1">
        <w:t xml:space="preserve"> </w:t>
      </w:r>
      <w:proofErr w:type="gramStart"/>
      <w:r w:rsidR="00BC16C1">
        <w:t xml:space="preserve">April </w:t>
      </w:r>
      <w:r w:rsidR="006018E0" w:rsidRPr="006018E0">
        <w:t xml:space="preserve"> 2023</w:t>
      </w:r>
      <w:proofErr w:type="gramEnd"/>
      <w:r w:rsidR="00232A6F">
        <w:t xml:space="preserve"> </w:t>
      </w:r>
      <w:r>
        <w:t xml:space="preserve">which has been approved by the Central Bank of Ireland (the </w:t>
      </w:r>
      <w:r>
        <w:rPr>
          <w:b/>
        </w:rPr>
        <w:t>"Central Bank"</w:t>
      </w:r>
      <w:r>
        <w:t xml:space="preserve">) as a base prospectus issued in compliance with </w:t>
      </w:r>
      <w:r w:rsidR="00603F83">
        <w:t>Regulation (EU) 2017/1129</w:t>
      </w:r>
      <w:r>
        <w:t xml:space="preserve"> (the </w:t>
      </w:r>
      <w:r>
        <w:rPr>
          <w:b/>
        </w:rPr>
        <w:t xml:space="preserve">"Prospectus </w:t>
      </w:r>
      <w:r w:rsidR="00603F83">
        <w:rPr>
          <w:b/>
        </w:rPr>
        <w:t>Regulation</w:t>
      </w:r>
      <w:r>
        <w:rPr>
          <w:b/>
        </w:rPr>
        <w:t>"</w:t>
      </w:r>
      <w:r>
        <w:t>) and relevant implementing measures in Ireland.</w:t>
      </w:r>
    </w:p>
    <w:p w14:paraId="791547B3" w14:textId="77777777" w:rsidR="007409E1" w:rsidRDefault="007409E1">
      <w:pPr>
        <w:pStyle w:val="BodyTextIndent2"/>
      </w:pPr>
      <w:r>
        <w:t xml:space="preserve">Notes issued under the Programme may be issued either (1) pursuant to the Base Prospectus describing the Programme and Final Terms describing the final terms of the </w:t>
      </w:r>
      <w:proofErr w:type="gramStart"/>
      <w:r>
        <w:t>particular Tranche</w:t>
      </w:r>
      <w:proofErr w:type="gramEnd"/>
      <w:r>
        <w:t xml:space="preserve"> of Notes or (2) pursuant to a prospectus (the </w:t>
      </w:r>
      <w:r>
        <w:rPr>
          <w:b/>
        </w:rPr>
        <w:t>"Drawdown Prospectus"</w:t>
      </w:r>
      <w:r>
        <w:t>) which will be constituted by a single document relating to a particular Tranche of Notes to be issued under the Programme.</w:t>
      </w:r>
    </w:p>
    <w:p w14:paraId="406CA57F" w14:textId="77777777" w:rsidR="007409E1" w:rsidRDefault="007409E1">
      <w:pPr>
        <w:pStyle w:val="Heading1"/>
      </w:pPr>
      <w:bookmarkStart w:id="7" w:name="_Toc60859022"/>
      <w:r>
        <w:t>Interpretation</w:t>
      </w:r>
      <w:bookmarkEnd w:id="7"/>
    </w:p>
    <w:p w14:paraId="2315E290" w14:textId="77777777" w:rsidR="007409E1" w:rsidRDefault="007409E1">
      <w:pPr>
        <w:pStyle w:val="Heading2"/>
      </w:pPr>
      <w:r>
        <w:t>Definitions</w:t>
      </w:r>
    </w:p>
    <w:p w14:paraId="19A17798" w14:textId="77777777" w:rsidR="007409E1" w:rsidRDefault="007409E1">
      <w:pPr>
        <w:pStyle w:val="BodyTextIndent2"/>
      </w:pPr>
      <w:r>
        <w:t xml:space="preserve">In this Programme Manual, the Dealer Agreement, the Agency Agreement, the Deed of </w:t>
      </w:r>
      <w:proofErr w:type="gramStart"/>
      <w:r>
        <w:t>Covenant</w:t>
      </w:r>
      <w:proofErr w:type="gramEnd"/>
      <w:r>
        <w:t xml:space="preserve"> and the Base Prospectus are together referred to as the </w:t>
      </w:r>
      <w:r>
        <w:rPr>
          <w:b/>
        </w:rPr>
        <w:t>"Programme Documents"</w:t>
      </w:r>
      <w:r>
        <w:t>.  All terms and expressions which have defined meanings in the Programme Documents shall have the same meanings in this Programme Manual except where the context requires otherwise or unless otherwise stated.</w:t>
      </w:r>
    </w:p>
    <w:p w14:paraId="6275CE6B" w14:textId="77777777" w:rsidR="007409E1" w:rsidRDefault="007409E1">
      <w:pPr>
        <w:pStyle w:val="Heading2"/>
      </w:pPr>
      <w:r>
        <w:t>Construction</w:t>
      </w:r>
    </w:p>
    <w:p w14:paraId="5C7CD4A8" w14:textId="77777777" w:rsidR="007409E1" w:rsidRDefault="007409E1">
      <w:pPr>
        <w:pStyle w:val="BodyTextIndent2"/>
      </w:pPr>
      <w:r>
        <w:t xml:space="preserve">All references in this Programme Manual to an agreement, </w:t>
      </w:r>
      <w:proofErr w:type="gramStart"/>
      <w:r>
        <w:t>instrument</w:t>
      </w:r>
      <w:proofErr w:type="gramEnd"/>
      <w:r>
        <w:t xml:space="preserve"> or other document (including the Agency Agreement, the Dealer Agreement, the Deed of Covenant, the Base Prospectus and each Drawdown Prospectus (if any)) shall be construed as a reference to that agreement, instrument or other document as the same may be amended, supplemented, replaced or novated from time to time.</w:t>
      </w:r>
    </w:p>
    <w:p w14:paraId="3BF71F8D" w14:textId="77777777" w:rsidR="007409E1" w:rsidRDefault="007409E1">
      <w:pPr>
        <w:pStyle w:val="Heading2"/>
      </w:pPr>
      <w:r>
        <w:t>Legal Effect</w:t>
      </w:r>
    </w:p>
    <w:p w14:paraId="12823AFE" w14:textId="77777777" w:rsidR="007409E1" w:rsidRDefault="007409E1">
      <w:pPr>
        <w:pStyle w:val="BodyTextIndent2"/>
      </w:pPr>
      <w:r>
        <w:t xml:space="preserve">This Programme Manual is not intended to create legal relations between any of the parties referred to in it or signing it for the purposes of identification.  It is intended to illustrate certain ways in which the provisions of the Programme Documents can operate, and to contain suggested forms of certain documents which may be created during the existence of the </w:t>
      </w:r>
      <w:proofErr w:type="gramStart"/>
      <w:r>
        <w:t>Programme, but</w:t>
      </w:r>
      <w:proofErr w:type="gramEnd"/>
      <w:r>
        <w:t xml:space="preserve"> is not intended to affect the construction of any of the Programme Documents.  In the case of any conflict between any of the provisions of this Programme Manual and any of the provisions of the Programme Documents, the provisions of the Programme Documents shall prevail.</w:t>
      </w:r>
    </w:p>
    <w:p w14:paraId="291DE2CA" w14:textId="77777777" w:rsidR="007409E1" w:rsidRDefault="007409E1">
      <w:pPr>
        <w:pStyle w:val="Heading1"/>
      </w:pPr>
      <w:bookmarkStart w:id="8" w:name="_Toc60859023"/>
      <w:r>
        <w:t>Settlement Procedures</w:t>
      </w:r>
      <w:bookmarkEnd w:id="8"/>
    </w:p>
    <w:p w14:paraId="7A9221EA" w14:textId="77777777" w:rsidR="007409E1" w:rsidRDefault="007409E1">
      <w:pPr>
        <w:pStyle w:val="Heading2"/>
      </w:pPr>
      <w:r>
        <w:t>Non-syndicated issues of Notes</w:t>
      </w:r>
    </w:p>
    <w:p w14:paraId="532C1999" w14:textId="77777777" w:rsidR="007409E1" w:rsidRDefault="007409E1">
      <w:pPr>
        <w:pStyle w:val="BodyTextIndent2"/>
      </w:pPr>
      <w:r>
        <w:t>The settlement procedures set out in schedule 1 (</w:t>
      </w:r>
      <w:r>
        <w:rPr>
          <w:i/>
        </w:rPr>
        <w:t>Settlement Procedures for Non-Syndicated Issues of Notes</w:t>
      </w:r>
      <w:r w:rsidR="00013309">
        <w:rPr>
          <w:i/>
        </w:rPr>
        <w:t xml:space="preserve"> in Bearer Form</w:t>
      </w:r>
      <w:r>
        <w:t>) shall apply to each non-syndicated issue of Notes</w:t>
      </w:r>
      <w:r w:rsidR="00013309">
        <w:t xml:space="preserve"> in bearer form</w:t>
      </w:r>
      <w:r>
        <w:t xml:space="preserve"> unless otherwise agreed between the Issuer and the Relevant Dealer.</w:t>
      </w:r>
    </w:p>
    <w:p w14:paraId="5DDEEBB4" w14:textId="77777777" w:rsidR="007409E1" w:rsidRDefault="007409E1">
      <w:pPr>
        <w:pStyle w:val="Heading2"/>
      </w:pPr>
      <w:r>
        <w:lastRenderedPageBreak/>
        <w:t>Syndicated issues of Notes</w:t>
      </w:r>
    </w:p>
    <w:p w14:paraId="4C055286" w14:textId="77777777" w:rsidR="007409E1" w:rsidRDefault="007409E1">
      <w:pPr>
        <w:pStyle w:val="BodyTextIndent2"/>
      </w:pPr>
      <w:r>
        <w:t>The settlement procedures set out in schedule 2 (</w:t>
      </w:r>
      <w:r>
        <w:rPr>
          <w:i/>
        </w:rPr>
        <w:t>Settlement Procedures for Syndicated Issue of Notes</w:t>
      </w:r>
      <w:r w:rsidR="00013309">
        <w:rPr>
          <w:i/>
        </w:rPr>
        <w:t xml:space="preserve"> in Bearer Form</w:t>
      </w:r>
      <w:r>
        <w:t>) shall apply to each syndicated issue of Notes</w:t>
      </w:r>
      <w:r w:rsidR="00013309">
        <w:t xml:space="preserve"> in </w:t>
      </w:r>
      <w:r w:rsidR="002547EB">
        <w:t>b</w:t>
      </w:r>
      <w:r w:rsidR="00BE1E20">
        <w:t>earer form</w:t>
      </w:r>
      <w:r>
        <w:t xml:space="preserve"> unless otherwise agreed between the Issuer and the Relevant Dealers.</w:t>
      </w:r>
    </w:p>
    <w:p w14:paraId="033BBB5F" w14:textId="77777777" w:rsidR="007409E1" w:rsidRDefault="007409E1">
      <w:pPr>
        <w:pStyle w:val="Heading2"/>
      </w:pPr>
      <w:r>
        <w:t>Euroclear and/or Clearstream, Luxembourg</w:t>
      </w:r>
    </w:p>
    <w:p w14:paraId="258FD313" w14:textId="77777777" w:rsidR="007409E1" w:rsidRDefault="007409E1">
      <w:pPr>
        <w:pStyle w:val="BodyTextIndent2"/>
      </w:pPr>
      <w:r>
        <w:t>The settlement procedures set out in schedules 1 (</w:t>
      </w:r>
      <w:r>
        <w:rPr>
          <w:i/>
        </w:rPr>
        <w:t>Settlement Procedures for Non-Syndicated Issues of Notes</w:t>
      </w:r>
      <w:r w:rsidR="00BE1E20">
        <w:rPr>
          <w:i/>
        </w:rPr>
        <w:t xml:space="preserve"> in Bearer Form</w:t>
      </w:r>
      <w:r>
        <w:t>) and 2 (</w:t>
      </w:r>
      <w:r>
        <w:rPr>
          <w:i/>
        </w:rPr>
        <w:t>Settlement Procedures for Syndicated Issues of Notes</w:t>
      </w:r>
      <w:r w:rsidR="00BE1E20">
        <w:rPr>
          <w:i/>
        </w:rPr>
        <w:t xml:space="preserve"> in Bearer Form</w:t>
      </w:r>
      <w:r>
        <w:t>) assume settlement through Euroclear and/or Clearstream, Luxembourg.  Settlement through alternative or additional clearing systems is permitted by the Programme but not illustrated in this Programme Manual.</w:t>
      </w:r>
    </w:p>
    <w:p w14:paraId="19A15626" w14:textId="77777777" w:rsidR="007409E1" w:rsidRDefault="007409E1">
      <w:pPr>
        <w:pStyle w:val="Heading2"/>
      </w:pPr>
      <w:r>
        <w:t>Drawdown Prospectus</w:t>
      </w:r>
    </w:p>
    <w:p w14:paraId="5D72BCE8" w14:textId="77777777" w:rsidR="007409E1" w:rsidRDefault="007409E1">
      <w:pPr>
        <w:pStyle w:val="BodyTextIndent2"/>
      </w:pPr>
      <w:r>
        <w:t>The settlement procedures set out in schedules 1 (</w:t>
      </w:r>
      <w:r>
        <w:rPr>
          <w:i/>
        </w:rPr>
        <w:t>Settlement Procedures for Non-Syndicated Issues of Notes</w:t>
      </w:r>
      <w:r w:rsidR="00BE1E20">
        <w:rPr>
          <w:i/>
        </w:rPr>
        <w:t xml:space="preserve"> in Bearer Form</w:t>
      </w:r>
      <w:r>
        <w:t>) and 2 (</w:t>
      </w:r>
      <w:r>
        <w:rPr>
          <w:i/>
        </w:rPr>
        <w:t>Settlement Procedures for Syndicated Issues of Notes</w:t>
      </w:r>
      <w:r w:rsidR="00BE1E20">
        <w:rPr>
          <w:i/>
        </w:rPr>
        <w:t xml:space="preserve"> in Bearer Form</w:t>
      </w:r>
      <w:r>
        <w:t>) do not contemplate issuance pursuant to a Drawdown Prospectus.  If in the case of the issuance of any Notes a Drawdown Prospectus needs to be approved and published before the Issue Date, note that Article </w:t>
      </w:r>
      <w:r w:rsidR="00312966">
        <w:t>20</w:t>
      </w:r>
      <w:r>
        <w:t xml:space="preserve">.2 of the Prospectus </w:t>
      </w:r>
      <w:r w:rsidR="00312966">
        <w:t>Regulation</w:t>
      </w:r>
      <w:r>
        <w:t xml:space="preserve"> gives the competent authority 10 working days to comment upon a draft submitted to it.  In the case of an Issuer which has not previously offered securities to the public in a member state or had its securities admitted to trading on a regulated market, this is increased to 20 working days by Article </w:t>
      </w:r>
      <w:r w:rsidR="00312966">
        <w:t>20</w:t>
      </w:r>
      <w:r>
        <w:t>.3.</w:t>
      </w:r>
    </w:p>
    <w:p w14:paraId="15C5E69A" w14:textId="77777777" w:rsidR="007409E1" w:rsidRDefault="007409E1">
      <w:pPr>
        <w:pStyle w:val="Heading2"/>
      </w:pPr>
      <w:r>
        <w:t>New Issues Procedures for New Global Notes</w:t>
      </w:r>
    </w:p>
    <w:p w14:paraId="642C5F03" w14:textId="77777777" w:rsidR="007409E1" w:rsidRDefault="007409E1">
      <w:pPr>
        <w:pStyle w:val="BodyTextIndent2"/>
      </w:pPr>
      <w:r>
        <w:t>The settlement procedures set out in schedules 1 (</w:t>
      </w:r>
      <w:r>
        <w:rPr>
          <w:i/>
        </w:rPr>
        <w:t>Settlement Procedures for Non-Syndicated Issues of Notes</w:t>
      </w:r>
      <w:r>
        <w:t>) and 2 (</w:t>
      </w:r>
      <w:r>
        <w:rPr>
          <w:i/>
        </w:rPr>
        <w:t>Settlement Procedures for Syndicated Issues of Notes</w:t>
      </w:r>
      <w:r>
        <w:t xml:space="preserve">) contemplate the settlement of issues of Global Notes in CGN form only.  The settlement procedures for issues of Global Notes in NGN form are set out in the booklet entitled "New Issues Procedures for international bearer debt securities issued in NGN form through the ICSDs" dated May 2006 published by ICMSA, ICMA and the ICSDs (as amended, </w:t>
      </w:r>
      <w:proofErr w:type="gramStart"/>
      <w:r>
        <w:t>supplemented</w:t>
      </w:r>
      <w:proofErr w:type="gramEnd"/>
      <w:r>
        <w:t xml:space="preserve"> or restated) which can be found on the ICMA website at www.</w:t>
      </w:r>
      <w:r w:rsidR="00423DC5">
        <w:t>icmagroup.org</w:t>
      </w:r>
      <w:r>
        <w:t xml:space="preserve">.  </w:t>
      </w:r>
    </w:p>
    <w:p w14:paraId="1545D15B" w14:textId="77777777" w:rsidR="002547EB" w:rsidRDefault="002547EB" w:rsidP="002547EB">
      <w:pPr>
        <w:pStyle w:val="Heading2"/>
      </w:pPr>
      <w:r>
        <w:t>Issue of Notes admitted to listing and trading on the AIAF Fixed Income Securities Market in Spain</w:t>
      </w:r>
    </w:p>
    <w:p w14:paraId="327D4CAD" w14:textId="77777777" w:rsidR="002547EB" w:rsidRDefault="002547EB" w:rsidP="002547EB">
      <w:pPr>
        <w:pStyle w:val="BodyTextIndent2"/>
      </w:pPr>
      <w:r>
        <w:t xml:space="preserve">Local settlement procedures for securities admitted to listing and trading on the AIAF Fixed Income Securities Market in </w:t>
      </w:r>
      <w:r w:rsidR="00423DC5">
        <w:t>Spain will</w:t>
      </w:r>
      <w:r>
        <w:t xml:space="preserve"> apply to each issue of Notes admitted to listing and trading on the AIAF Fixed Income Securities Market in Spain unless otherwise agreed between the Issuer and the Relevant Dealers.</w:t>
      </w:r>
    </w:p>
    <w:p w14:paraId="0BF360AB" w14:textId="77777777" w:rsidR="007409E1" w:rsidRDefault="007409E1">
      <w:pPr>
        <w:pStyle w:val="Heading1"/>
      </w:pPr>
      <w:bookmarkStart w:id="9" w:name="_Toc60859024"/>
      <w:r>
        <w:t>Forms of the Notes</w:t>
      </w:r>
      <w:bookmarkEnd w:id="9"/>
    </w:p>
    <w:p w14:paraId="12D02F1B" w14:textId="77777777" w:rsidR="007409E1" w:rsidRDefault="007409E1">
      <w:pPr>
        <w:pStyle w:val="BodyTextIndent2"/>
      </w:pPr>
      <w:r>
        <w:t>Schedule 7 (</w:t>
      </w:r>
      <w:r>
        <w:rPr>
          <w:i/>
        </w:rPr>
        <w:t>Form of Temporary Global Note</w:t>
      </w:r>
      <w:r>
        <w:t>), schedule 8 (</w:t>
      </w:r>
      <w:r>
        <w:rPr>
          <w:i/>
        </w:rPr>
        <w:t>Form of Permanent Global Note</w:t>
      </w:r>
      <w:r>
        <w:t>) and schedule 9 (</w:t>
      </w:r>
      <w:r>
        <w:rPr>
          <w:i/>
        </w:rPr>
        <w:t>Form of Definitive Note</w:t>
      </w:r>
      <w:r>
        <w:t>) contain the forms of the Notes</w:t>
      </w:r>
      <w:r w:rsidR="00F34C5A">
        <w:t xml:space="preserve"> which are issued in bearer fo</w:t>
      </w:r>
      <w:r w:rsidR="00BE1E20">
        <w:t>r</w:t>
      </w:r>
      <w:r w:rsidR="00F34C5A">
        <w:t>m</w:t>
      </w:r>
      <w:r>
        <w:t>.  The Issuer has delivered to the Fiscal Agent a stock of Master Temporary Global Notes and Master Permanent Global Notes (in unauthenticated form but executed on behalf of the Issuer) based on the forms appearing in schedule 7 (</w:t>
      </w:r>
      <w:r>
        <w:rPr>
          <w:i/>
        </w:rPr>
        <w:t>Form of Temporary Global Note</w:t>
      </w:r>
      <w:r>
        <w:t>), and schedule 8 (</w:t>
      </w:r>
      <w:r>
        <w:rPr>
          <w:i/>
        </w:rPr>
        <w:t>Form of Permanent Global Note</w:t>
      </w:r>
      <w:r>
        <w:t>), respectively.  The forms of Notes appearing in schedule 7 (</w:t>
      </w:r>
      <w:r>
        <w:rPr>
          <w:i/>
        </w:rPr>
        <w:t>Form of Temporary Global Note</w:t>
      </w:r>
      <w:r>
        <w:t>), schedule 8 (</w:t>
      </w:r>
      <w:r>
        <w:rPr>
          <w:i/>
        </w:rPr>
        <w:t>Form of Permanent Global Note</w:t>
      </w:r>
      <w:r>
        <w:t>) and schedule 9 (</w:t>
      </w:r>
      <w:r>
        <w:rPr>
          <w:i/>
        </w:rPr>
        <w:t>Form of Definitive Note</w:t>
      </w:r>
      <w:r>
        <w:t xml:space="preserve">) may be amended or supplemented for </w:t>
      </w:r>
      <w:r>
        <w:lastRenderedPageBreak/>
        <w:t xml:space="preserve">use in respect of a particular Tranche of Notes by agreement between the Issuer, the Fiscal </w:t>
      </w:r>
      <w:proofErr w:type="gramStart"/>
      <w:r>
        <w:t>Agent</w:t>
      </w:r>
      <w:proofErr w:type="gramEnd"/>
      <w:r>
        <w:t xml:space="preserve"> and the Relevant Dealer(s).</w:t>
      </w:r>
    </w:p>
    <w:p w14:paraId="57ABCE03" w14:textId="77777777" w:rsidR="007409E1" w:rsidRPr="00B606B1" w:rsidRDefault="007409E1">
      <w:pPr>
        <w:pStyle w:val="SchHead"/>
      </w:pPr>
      <w:bookmarkStart w:id="10" w:name="_Ref493535163"/>
      <w:r>
        <w:br w:type="page"/>
      </w:r>
      <w:bookmarkStart w:id="11" w:name="_Toc60859025"/>
      <w:r w:rsidRPr="00B606B1">
        <w:t>Settlement Procedures for Non</w:t>
      </w:r>
      <w:r w:rsidRPr="00B606B1">
        <w:noBreakHyphen/>
        <w:t>Syndicated Issues of Notes</w:t>
      </w:r>
      <w:bookmarkEnd w:id="10"/>
      <w:r w:rsidR="00013309">
        <w:t xml:space="preserve"> in bearer form</w:t>
      </w:r>
      <w:bookmarkEnd w:id="11"/>
    </w:p>
    <w:p w14:paraId="750B338F" w14:textId="77777777" w:rsidR="007409E1" w:rsidRDefault="007409E1">
      <w:pPr>
        <w:pStyle w:val="ScheduleL1"/>
        <w:keepNext/>
        <w:rPr>
          <w:b/>
        </w:rPr>
      </w:pPr>
      <w:r>
        <w:rPr>
          <w:b/>
        </w:rPr>
        <w:t>By no later than 2.00pm (Local Time) three Local Banking Days before the Issue Date</w:t>
      </w:r>
    </w:p>
    <w:p w14:paraId="49C5F96C" w14:textId="77777777" w:rsidR="007409E1" w:rsidRDefault="007409E1">
      <w:pPr>
        <w:pStyle w:val="ScheduleL2"/>
      </w:pPr>
      <w:r>
        <w:t>The Issuer agrees terms with a Dealer (which in this schedule includes any institution to be appointed as a Dealer under the Dealer Accession Letter referred to below) for the issue and purchase of Notes (whether pursuant to an unsolicited bid from such Dealer or pursuant to an enquiry by the Issuer).</w:t>
      </w:r>
    </w:p>
    <w:p w14:paraId="4AFE8378" w14:textId="77777777" w:rsidR="007409E1" w:rsidRDefault="007409E1">
      <w:pPr>
        <w:pStyle w:val="ScheduleL2"/>
      </w:pPr>
      <w:r>
        <w:t>The Relevant Dealer promptly confirms (by fax or e mail) the terms of such agreement to the Issuer, copied to the Fiscal Agent.</w:t>
      </w:r>
    </w:p>
    <w:p w14:paraId="21066744" w14:textId="77777777" w:rsidR="007409E1" w:rsidRPr="00013309" w:rsidRDefault="007409E1">
      <w:pPr>
        <w:pStyle w:val="ScheduleL2"/>
      </w:pPr>
      <w:r w:rsidRPr="00013309">
        <w:t xml:space="preserve">The Relevant Dealer instructs the Fiscal Agent to obtain a common code and ISIN code </w:t>
      </w:r>
      <w:r w:rsidR="008E55F8" w:rsidRPr="00013309">
        <w:t xml:space="preserve">(and CFI and FISN if applicable) </w:t>
      </w:r>
      <w:r w:rsidRPr="00013309">
        <w:t>from Euroclear or Clearstream, Luxembourg.</w:t>
      </w:r>
    </w:p>
    <w:p w14:paraId="0DB458EC" w14:textId="77777777" w:rsidR="007409E1" w:rsidRPr="00013309" w:rsidRDefault="007409E1">
      <w:pPr>
        <w:pStyle w:val="ScheduleL2"/>
      </w:pPr>
      <w:r w:rsidRPr="00013309">
        <w:t xml:space="preserve">In the case of the first Tranche of Notes of a Series, the Fiscal Agent telephones Euroclear or Clearstream, Luxembourg with a request for a common code and ISIN code </w:t>
      </w:r>
      <w:r w:rsidR="008E55F8" w:rsidRPr="00013309">
        <w:t xml:space="preserve">(and CFI and FISN if applicable) </w:t>
      </w:r>
      <w:r w:rsidRPr="00013309">
        <w:t xml:space="preserve">for such Series and in the case of a subsequent Tranche of Notes of that Series the Fiscal Agent telephones Euroclear or Clearstream, Luxembourg with a request for a temporary common code and ISIN code </w:t>
      </w:r>
      <w:r w:rsidR="008E55F8" w:rsidRPr="00013309">
        <w:t xml:space="preserve">(and CFI and FISN if applicable) </w:t>
      </w:r>
      <w:r w:rsidRPr="00013309">
        <w:t>for such Tranche.</w:t>
      </w:r>
    </w:p>
    <w:p w14:paraId="5AC41892" w14:textId="77777777" w:rsidR="007409E1" w:rsidRPr="00013309" w:rsidRDefault="007409E1">
      <w:pPr>
        <w:pStyle w:val="ScheduleL2"/>
      </w:pPr>
      <w:r w:rsidRPr="00013309">
        <w:t xml:space="preserve">Each common code and ISIN code </w:t>
      </w:r>
      <w:r w:rsidR="008E55F8" w:rsidRPr="00013309">
        <w:t xml:space="preserve">(and CFI and FISN if applicable) </w:t>
      </w:r>
      <w:r w:rsidRPr="00013309">
        <w:t>is notified by the Fiscal Agent to the Issuer and the Relevant Dealer.</w:t>
      </w:r>
    </w:p>
    <w:p w14:paraId="2FEF73C7" w14:textId="77777777" w:rsidR="007409E1" w:rsidRDefault="007409E1">
      <w:pPr>
        <w:pStyle w:val="ScheduleL2"/>
      </w:pPr>
      <w:r>
        <w:t>Where the purchasing institution is not a Dealer, arrangements are made for the execution of a Dealer Accession Letter (in or substantially in the form set out in schedule 4 (</w:t>
      </w:r>
      <w:r>
        <w:rPr>
          <w:i/>
        </w:rPr>
        <w:t>Form of Dealer Accession Letter</w:t>
      </w:r>
      <w:r>
        <w:t>) to the Programme Manual) and for the collection and review of the required condition precedent documents.</w:t>
      </w:r>
    </w:p>
    <w:p w14:paraId="103971DD" w14:textId="77777777" w:rsidR="007409E1" w:rsidRDefault="007409E1">
      <w:pPr>
        <w:pStyle w:val="ScheduleL1"/>
        <w:keepNext/>
        <w:rPr>
          <w:b/>
        </w:rPr>
      </w:pPr>
      <w:r>
        <w:rPr>
          <w:b/>
        </w:rPr>
        <w:t>By no later than 3.00pm (Local Time) three Local Banking Days before the Issue Date</w:t>
      </w:r>
    </w:p>
    <w:p w14:paraId="06D1D33A" w14:textId="77777777" w:rsidR="007409E1" w:rsidRDefault="007409E1">
      <w:pPr>
        <w:pStyle w:val="BodyTextIndent"/>
      </w:pPr>
      <w:r>
        <w:t>The Issuer (or, if the Mandated Dealer so agrees with the Issuer, such Dealer) prepares (or procures the preparation by the Fiscal Agent of) the Final Terms based on or substantially on the form set out in schedule 3 (</w:t>
      </w:r>
      <w:r>
        <w:rPr>
          <w:i/>
        </w:rPr>
        <w:t>Form of Final Terms</w:t>
      </w:r>
      <w:r>
        <w:t>) to the Programme Manual, and sends (by fax or e mail) a copy to the Relevant Dealer (or, as the case may be, the Issuer), with a copy to the Fiscal Agent.</w:t>
      </w:r>
    </w:p>
    <w:p w14:paraId="3AA1046E" w14:textId="77777777" w:rsidR="007409E1" w:rsidRDefault="007409E1">
      <w:pPr>
        <w:pStyle w:val="ScheduleL1"/>
        <w:keepNext/>
        <w:rPr>
          <w:b/>
        </w:rPr>
      </w:pPr>
      <w:r>
        <w:rPr>
          <w:b/>
        </w:rPr>
        <w:t>By no later than 5.00pm (Local Time) three Local Banking Days before the Issue Date</w:t>
      </w:r>
    </w:p>
    <w:p w14:paraId="4E33B7D1" w14:textId="77777777" w:rsidR="007409E1" w:rsidRDefault="007409E1">
      <w:pPr>
        <w:pStyle w:val="ScheduleL2"/>
      </w:pPr>
      <w:r>
        <w:t>The Final Terms are agreed between the Issuer and the Relevant Dealer.</w:t>
      </w:r>
    </w:p>
    <w:p w14:paraId="311FAE2F" w14:textId="77777777" w:rsidR="007409E1" w:rsidRDefault="007409E1">
      <w:pPr>
        <w:pStyle w:val="ScheduleL2"/>
        <w:keepNext/>
      </w:pPr>
      <w:r>
        <w:t>The Issuer confirms its instructions to the Fiscal Agent to carry out the duties to be carried out by the Fiscal Agent under the Agency Agreement and:</w:t>
      </w:r>
    </w:p>
    <w:p w14:paraId="276A1213" w14:textId="77777777" w:rsidR="007409E1" w:rsidRDefault="007409E1">
      <w:pPr>
        <w:pStyle w:val="ScheduleL3"/>
        <w:numPr>
          <w:ilvl w:val="2"/>
          <w:numId w:val="16"/>
        </w:numPr>
      </w:pPr>
      <w:r>
        <w:t>if a Master Global Note(s) is/are to be used, ensures that the Fiscal Agent receives such details as are necessary to enable it to complete a duplicate or duplicates of the appropriate Master Global Note(s); and</w:t>
      </w:r>
    </w:p>
    <w:p w14:paraId="2B4423F1" w14:textId="77777777" w:rsidR="00013309" w:rsidRDefault="007409E1">
      <w:pPr>
        <w:pStyle w:val="ScheduleL3"/>
        <w:numPr>
          <w:ilvl w:val="2"/>
          <w:numId w:val="16"/>
        </w:numPr>
      </w:pPr>
      <w:r>
        <w:t>if a Master Global Note(s) is/are not to be used, ensures that there is delivered to the Fiscal Agent an appropriate Temporary Global Note and/or a Permanent Global Note (as the case may be), in unauthenticated form but executed on behalf of the Issuer</w:t>
      </w:r>
      <w:r w:rsidR="00013309">
        <w:t xml:space="preserve">. </w:t>
      </w:r>
    </w:p>
    <w:p w14:paraId="7023A180" w14:textId="77777777" w:rsidR="007409E1" w:rsidRDefault="007409E1">
      <w:pPr>
        <w:pStyle w:val="ScheduleL2"/>
      </w:pPr>
      <w:r>
        <w:t>The Final Terms are executed and delivered (by fax or e mail) to the Relevant Dealer, with a copy to the Fiscal Agent.</w:t>
      </w:r>
    </w:p>
    <w:p w14:paraId="21F79A3F" w14:textId="77777777" w:rsidR="007409E1" w:rsidRDefault="007409E1">
      <w:pPr>
        <w:pStyle w:val="ScheduleL2"/>
      </w:pPr>
      <w:r>
        <w:t>If required by the Conditions, a Calculation Agent is appointed (as specified in the Final Terms).</w:t>
      </w:r>
    </w:p>
    <w:p w14:paraId="32E52859" w14:textId="77777777" w:rsidR="007409E1" w:rsidRDefault="007409E1">
      <w:pPr>
        <w:pStyle w:val="ScheduleL1"/>
        <w:keepNext/>
        <w:rPr>
          <w:b/>
        </w:rPr>
      </w:pPr>
      <w:r>
        <w:rPr>
          <w:b/>
        </w:rPr>
        <w:t>No later than two Local Banking Days before the Issue Date</w:t>
      </w:r>
    </w:p>
    <w:p w14:paraId="1C49A06C" w14:textId="77777777" w:rsidR="007409E1" w:rsidRDefault="00013309">
      <w:pPr>
        <w:pStyle w:val="ScheduleL2"/>
      </w:pPr>
      <w:r>
        <w:t>T</w:t>
      </w:r>
      <w:r w:rsidR="007409E1">
        <w:t>he Relevant Dealer instructs Euroclear and/or Clearstream, Luxembourg to debit its account and pay the net subscription moneys to the Fiscal Agent's distribution account with Euroclear and/or Clearstream, Luxembourg for value the Issue Date, against delivery of the Notes for value the Issue Date to the specified account of the Relevant Dealer with Euroclear or Clearstream, Luxembourg.</w:t>
      </w:r>
    </w:p>
    <w:p w14:paraId="4F9C0AA7" w14:textId="77777777" w:rsidR="007409E1" w:rsidRDefault="007409E1">
      <w:pPr>
        <w:pStyle w:val="ScheduleL2"/>
      </w:pPr>
      <w:r>
        <w:t>The Fiscal Agent receives details of such instructions through the records of Euroclear and/or Clearstream, Luxembourg.</w:t>
      </w:r>
    </w:p>
    <w:p w14:paraId="30518415" w14:textId="77777777" w:rsidR="007409E1" w:rsidRDefault="007409E1">
      <w:pPr>
        <w:pStyle w:val="ScheduleL1"/>
        <w:keepNext/>
        <w:rPr>
          <w:b/>
        </w:rPr>
      </w:pPr>
      <w:r>
        <w:rPr>
          <w:b/>
        </w:rPr>
        <w:t>By no later than the Local Banking Day before the Issue Date</w:t>
      </w:r>
    </w:p>
    <w:p w14:paraId="4244E42F" w14:textId="77777777" w:rsidR="007409E1" w:rsidRDefault="00013309" w:rsidP="00013309">
      <w:pPr>
        <w:pStyle w:val="ScheduleL2"/>
      </w:pPr>
      <w:r>
        <w:t>I</w:t>
      </w:r>
      <w:r w:rsidR="007409E1">
        <w:t>f a Master Global Note(s) is/are to be used, the Fiscal Agent completes a duplicate or duplicates of the appropriate Master Global Note(s), attaches a copy of the relevant Final Terms and authenticates the completed Global Note(s)</w:t>
      </w:r>
      <w:r>
        <w:t>.</w:t>
      </w:r>
    </w:p>
    <w:p w14:paraId="67F2AEA5" w14:textId="77777777" w:rsidR="007409E1" w:rsidRDefault="00013309" w:rsidP="00013309">
      <w:pPr>
        <w:pStyle w:val="ScheduleL2"/>
      </w:pPr>
      <w:r>
        <w:t>I</w:t>
      </w:r>
      <w:r w:rsidR="007409E1">
        <w:t>f a Master Global Note(s) is/are not to be used, the Fiscal Agent checks and authenticates the completed Global Note(s) supplied to it by the Issuer</w:t>
      </w:r>
      <w:r>
        <w:t>.</w:t>
      </w:r>
    </w:p>
    <w:p w14:paraId="6422EC65" w14:textId="77777777" w:rsidR="007409E1" w:rsidRDefault="00013309" w:rsidP="00013309">
      <w:pPr>
        <w:pStyle w:val="ScheduleL2"/>
      </w:pPr>
      <w:r>
        <w:t>T</w:t>
      </w:r>
      <w:r w:rsidR="007409E1">
        <w:t>he conditions precedent in the Dealer Agreement are satisfied and/or waived</w:t>
      </w:r>
      <w:r>
        <w:t>.</w:t>
      </w:r>
    </w:p>
    <w:p w14:paraId="2AD3D395" w14:textId="77777777" w:rsidR="007409E1" w:rsidRDefault="00013309" w:rsidP="00013309">
      <w:pPr>
        <w:pStyle w:val="ScheduleL2"/>
      </w:pPr>
      <w:r>
        <w:t>T</w:t>
      </w:r>
      <w:r w:rsidR="007409E1">
        <w:t>he Global Note(s) is/are then delivered by the Fiscal Agent to a common depositary for Euroclear and Clearstream, Luxembourg to be held in the Fiscal Agent's distribution account to the order of the Issuer pending payment of the net subscription moneys</w:t>
      </w:r>
      <w:r>
        <w:t>.</w:t>
      </w:r>
    </w:p>
    <w:p w14:paraId="1B68BC65" w14:textId="77777777" w:rsidR="007409E1" w:rsidRDefault="00013309" w:rsidP="00013309">
      <w:pPr>
        <w:pStyle w:val="ScheduleL2"/>
      </w:pPr>
      <w:r>
        <w:t>I</w:t>
      </w:r>
      <w:r w:rsidR="007409E1">
        <w:t>nstructions are given by the Fiscal Agent to Euroclear or</w:t>
      </w:r>
      <w:proofErr w:type="gramStart"/>
      <w:r w:rsidR="007409E1">
        <w:t>, as the case may be, Clearstream</w:t>
      </w:r>
      <w:proofErr w:type="gramEnd"/>
      <w:r w:rsidR="007409E1">
        <w:t>, Luxembourg to credit the Notes represented by such Global Note to the Fiscal Agent's distribution account</w:t>
      </w:r>
      <w:r>
        <w:t>.</w:t>
      </w:r>
    </w:p>
    <w:p w14:paraId="1C102A30" w14:textId="77777777" w:rsidR="007409E1" w:rsidRDefault="00013309" w:rsidP="00013309">
      <w:pPr>
        <w:pStyle w:val="ScheduleL2"/>
      </w:pPr>
      <w:r>
        <w:t>I</w:t>
      </w:r>
      <w:r w:rsidR="007409E1">
        <w:t>f delivery "against payment" is specified in the relevant Final Terms, the Fiscal Agent further instructs Euroclear or, as the case may be, Clearstream, Luxembourg to debit from the Fiscal Agent's distribution account the nominal amount of such Notes which the Relevant Dealer has agreed to purchase and to credit such nominal amount to the account of such Dealer with Euroclear or Clearstream, Luxembourg against payment to the account of the Fiscal Agent of the net subscription moneys for the relevant Tranche of Notes for value the Issue Date</w:t>
      </w:r>
      <w:r>
        <w:t>.</w:t>
      </w:r>
    </w:p>
    <w:p w14:paraId="332F2F75" w14:textId="77777777" w:rsidR="007409E1" w:rsidRDefault="00013309" w:rsidP="00013309">
      <w:pPr>
        <w:pStyle w:val="ScheduleL2"/>
      </w:pPr>
      <w:r>
        <w:t>T</w:t>
      </w:r>
      <w:r w:rsidR="007409E1">
        <w:t>he Relevant Dealer gives corresponding instructions to Euroclear or Clearstream, Luxembourg</w:t>
      </w:r>
      <w:r>
        <w:t>.</w:t>
      </w:r>
    </w:p>
    <w:p w14:paraId="343C61F0" w14:textId="77777777" w:rsidR="007409E1" w:rsidRDefault="00013309" w:rsidP="00013309">
      <w:pPr>
        <w:pStyle w:val="ScheduleL2"/>
      </w:pPr>
      <w:r>
        <w:t>I</w:t>
      </w:r>
      <w:r w:rsidR="007409E1">
        <w:t xml:space="preserve">f delivery "free of payment" is agreed between the parties and specified in the Final Terms, the Issuer, the Relevant </w:t>
      </w:r>
      <w:proofErr w:type="gramStart"/>
      <w:r w:rsidR="007409E1">
        <w:t>Dealer</w:t>
      </w:r>
      <w:proofErr w:type="gramEnd"/>
      <w:r w:rsidR="007409E1">
        <w:t xml:space="preserve"> and the Fiscal Agent may agree alternative payment, settlement and delivery arrangements.</w:t>
      </w:r>
    </w:p>
    <w:p w14:paraId="0B860424" w14:textId="77777777" w:rsidR="007409E1" w:rsidRDefault="007409E1">
      <w:pPr>
        <w:pStyle w:val="ScheduleL1"/>
        <w:keepNext/>
        <w:rPr>
          <w:b/>
        </w:rPr>
      </w:pPr>
      <w:r>
        <w:rPr>
          <w:b/>
        </w:rPr>
        <w:t>By no later than 1.00pm (Local Time) on the business day in Ireland before the Issue Date</w:t>
      </w:r>
    </w:p>
    <w:p w14:paraId="2F59854A" w14:textId="77777777" w:rsidR="007409E1" w:rsidRDefault="007409E1">
      <w:pPr>
        <w:pStyle w:val="BodyTextIndent"/>
      </w:pPr>
      <w:r>
        <w:t xml:space="preserve">In the case of Notes which are to be admitted to trading on the </w:t>
      </w:r>
      <w:r w:rsidR="006114A1">
        <w:t>Regulated</w:t>
      </w:r>
      <w:r>
        <w:t xml:space="preserve"> Market, the Fiscal Agent notifies Euronext Dublin by fax or email of the details of the Notes to be issued by sending the Final Terms to the Irish Listing Agent for submission to Euronext Dublin.</w:t>
      </w:r>
    </w:p>
    <w:p w14:paraId="185B21CE" w14:textId="77777777" w:rsidR="007409E1" w:rsidRDefault="007409E1">
      <w:pPr>
        <w:pStyle w:val="ScheduleL1"/>
        <w:keepNext/>
        <w:rPr>
          <w:b/>
        </w:rPr>
      </w:pPr>
      <w:r>
        <w:rPr>
          <w:b/>
        </w:rPr>
        <w:t>By no later than 3.00pm (Local Time) one Local Banking Day before the Issue Date</w:t>
      </w:r>
    </w:p>
    <w:p w14:paraId="7B2C9EF8" w14:textId="77777777" w:rsidR="007409E1" w:rsidRDefault="007409E1">
      <w:pPr>
        <w:pStyle w:val="ScheduleL2"/>
      </w:pPr>
      <w:r>
        <w:t>In the case of Floating Rate Notes, the Fiscal Agent notifies Euroclear, Clearstream, Luxembourg, the Issuer, the relevant stock exchange (if applicable) and the Relevant Dealer by fax or e</w:t>
      </w:r>
      <w:r>
        <w:noBreakHyphen/>
        <w:t>mail of the Rate of Interest for the first Interest Period (if already determined).</w:t>
      </w:r>
    </w:p>
    <w:p w14:paraId="79DB86B4" w14:textId="77777777" w:rsidR="007409E1" w:rsidRDefault="007409E1">
      <w:pPr>
        <w:pStyle w:val="ScheduleL2"/>
      </w:pPr>
      <w:r>
        <w:t>Where the Rate of Interest has not yet been determined, this will be notified in accordance with this paragraph as soon as it has been determined.</w:t>
      </w:r>
    </w:p>
    <w:p w14:paraId="75CB95E8" w14:textId="77777777" w:rsidR="007409E1" w:rsidRDefault="007409E1">
      <w:pPr>
        <w:pStyle w:val="ScheduleL1"/>
        <w:keepNext/>
        <w:rPr>
          <w:b/>
        </w:rPr>
      </w:pPr>
      <w:r>
        <w:rPr>
          <w:b/>
        </w:rPr>
        <w:t>On the Issue Date</w:t>
      </w:r>
    </w:p>
    <w:p w14:paraId="1E42E27D" w14:textId="77777777" w:rsidR="007409E1" w:rsidRDefault="007409E1">
      <w:pPr>
        <w:pStyle w:val="ScheduleL2"/>
      </w:pPr>
      <w:r>
        <w:t>Euroclear and/or Clearstream, Luxembourg debit and credit accounts in accordance with instructions received by them.</w:t>
      </w:r>
    </w:p>
    <w:p w14:paraId="06F79CF8" w14:textId="77777777" w:rsidR="007409E1" w:rsidRDefault="007409E1">
      <w:pPr>
        <w:pStyle w:val="ScheduleL2"/>
      </w:pPr>
      <w:r>
        <w:t>Upon receipt of the net subscription moneys, the Fiscal Agent transfers such moneys for value the Issue Date to such account as has been designated by the Issuer.</w:t>
      </w:r>
    </w:p>
    <w:p w14:paraId="644D9B7A" w14:textId="77777777" w:rsidR="007409E1" w:rsidRDefault="007409E1">
      <w:pPr>
        <w:pStyle w:val="ScheduleL1"/>
        <w:keepNext/>
        <w:rPr>
          <w:b/>
        </w:rPr>
      </w:pPr>
      <w:r>
        <w:rPr>
          <w:b/>
        </w:rPr>
        <w:t xml:space="preserve">On or </w:t>
      </w:r>
      <w:proofErr w:type="gramStart"/>
      <w:r>
        <w:rPr>
          <w:b/>
        </w:rPr>
        <w:t>subsequent to</w:t>
      </w:r>
      <w:proofErr w:type="gramEnd"/>
      <w:r>
        <w:rPr>
          <w:b/>
        </w:rPr>
        <w:t xml:space="preserve"> the Issue Date</w:t>
      </w:r>
    </w:p>
    <w:p w14:paraId="105278CE" w14:textId="77777777" w:rsidR="007409E1" w:rsidRDefault="007409E1">
      <w:pPr>
        <w:pStyle w:val="BodyTextIndent"/>
      </w:pPr>
      <w:r>
        <w:t xml:space="preserve">The Fiscal Agent notifies the Issuer forthwith </w:t>
      </w:r>
      <w:proofErr w:type="gramStart"/>
      <w:r>
        <w:t>in the event that</w:t>
      </w:r>
      <w:proofErr w:type="gramEnd"/>
      <w:r>
        <w:t xml:space="preserve"> the Relevant Dealer does not pay the net subscription moneys due from it in respect of a Note.</w:t>
      </w:r>
    </w:p>
    <w:p w14:paraId="46F13660" w14:textId="77777777" w:rsidR="007409E1" w:rsidRDefault="007409E1">
      <w:pPr>
        <w:pStyle w:val="ScheduleL1"/>
        <w:keepNext/>
        <w:rPr>
          <w:b/>
        </w:rPr>
      </w:pPr>
      <w:r>
        <w:rPr>
          <w:b/>
        </w:rPr>
        <w:t>On the Exchange Date (if necessary)</w:t>
      </w:r>
    </w:p>
    <w:p w14:paraId="2EBFDBEA" w14:textId="77777777" w:rsidR="007409E1" w:rsidRDefault="007409E1">
      <w:pPr>
        <w:pStyle w:val="BodyTextIndent"/>
        <w:keepNext/>
      </w:pPr>
      <w:r>
        <w:t>In the case of the first Tranche of a Series, where the Final Terms for such Tranche specifies that a Temporary Global Note shall be exchangeable for a Permanent Global Note:</w:t>
      </w:r>
    </w:p>
    <w:p w14:paraId="11646E16" w14:textId="77777777" w:rsidR="007409E1" w:rsidRDefault="007409E1">
      <w:pPr>
        <w:pStyle w:val="ScheduleL2"/>
      </w:pPr>
      <w:r>
        <w:t>if a Master Permanent Global Note is to be used, the Fiscal Agent completes a duplicate of the Master Permanent Global Note, attaches a copy of the relevant Final Terms, authenticates the completed Permanent Global Note (to the extent not already done) and delivers it to a common depositary for Euroclear and Clearstream, Luxembourg; and</w:t>
      </w:r>
    </w:p>
    <w:p w14:paraId="54DFFFCF" w14:textId="77777777" w:rsidR="007409E1" w:rsidRDefault="007409E1">
      <w:pPr>
        <w:pStyle w:val="ScheduleL2"/>
      </w:pPr>
      <w:r>
        <w:t>If a Master Permanent Global Note is not to be used, the Fiscal Agent checks and authenticates the completed Permanent Global Note supplied to it by the Issuer (to the extent not already done) and delivers it to a common depositary for Euroclear and Clearstream, Luxembourg.</w:t>
      </w:r>
    </w:p>
    <w:p w14:paraId="30657C6B" w14:textId="77777777" w:rsidR="007409E1" w:rsidRDefault="007409E1">
      <w:pPr>
        <w:pStyle w:val="MarginText"/>
      </w:pPr>
    </w:p>
    <w:p w14:paraId="4062F501" w14:textId="77777777" w:rsidR="007409E1" w:rsidRPr="00B606B1" w:rsidRDefault="007409E1">
      <w:pPr>
        <w:pStyle w:val="SchHead"/>
      </w:pPr>
      <w:bookmarkStart w:id="12" w:name="_Ref493535299"/>
      <w:r>
        <w:br w:type="page"/>
      </w:r>
      <w:bookmarkStart w:id="13" w:name="_Ref493569908"/>
      <w:bookmarkStart w:id="14" w:name="_Ref493569917"/>
      <w:bookmarkStart w:id="15" w:name="_Toc60859026"/>
      <w:r w:rsidRPr="00B606B1">
        <w:t>Settlement Procedures for Syndicated Issues of Notes</w:t>
      </w:r>
      <w:bookmarkEnd w:id="12"/>
      <w:bookmarkEnd w:id="13"/>
      <w:bookmarkEnd w:id="14"/>
      <w:r w:rsidR="00013309">
        <w:t xml:space="preserve"> in bearer form</w:t>
      </w:r>
      <w:bookmarkEnd w:id="15"/>
    </w:p>
    <w:p w14:paraId="2F5E02ED" w14:textId="77777777" w:rsidR="007409E1" w:rsidRDefault="007409E1">
      <w:pPr>
        <w:pStyle w:val="ScheduleL1"/>
        <w:keepNext/>
        <w:numPr>
          <w:ilvl w:val="0"/>
          <w:numId w:val="17"/>
        </w:numPr>
        <w:rPr>
          <w:b/>
        </w:rPr>
      </w:pPr>
      <w:r w:rsidRPr="00B606B1">
        <w:rPr>
          <w:b/>
        </w:rPr>
        <w:t>No later than 10 Local Banking Days before the Issue Date (or such other number of days agreed between the Issuer, the Mandated</w:t>
      </w:r>
      <w:r>
        <w:rPr>
          <w:b/>
        </w:rPr>
        <w:t xml:space="preserve"> </w:t>
      </w:r>
      <w:proofErr w:type="gramStart"/>
      <w:r>
        <w:rPr>
          <w:b/>
        </w:rPr>
        <w:t>Dealer</w:t>
      </w:r>
      <w:proofErr w:type="gramEnd"/>
      <w:r>
        <w:rPr>
          <w:b/>
        </w:rPr>
        <w:t xml:space="preserve"> and the Fiscal Agent)</w:t>
      </w:r>
    </w:p>
    <w:p w14:paraId="44A31697" w14:textId="77777777" w:rsidR="007409E1" w:rsidRDefault="007409E1">
      <w:pPr>
        <w:pStyle w:val="ScheduleL2"/>
      </w:pPr>
      <w:r>
        <w:t>The Issuer agrees terms with a Dealer (which expression in this schedule includes any institution to be appointed as a Dealer under the Subscription Agreement referred to below) for the issue and purchase of Notes (whether pursuant to an unsolicited bid from such Dealer or pursuant to an enquiry by the Issuer), subject to the execution of the Subscription Agreement referred to below.</w:t>
      </w:r>
    </w:p>
    <w:p w14:paraId="3FA66630" w14:textId="77777777" w:rsidR="007409E1" w:rsidRDefault="007409E1">
      <w:pPr>
        <w:pStyle w:val="ScheduleL2"/>
      </w:pPr>
      <w:r>
        <w:t>The Mandated Dealer promptly confirms (by fax or e mail) the terms of such agreement to the Issuer, copied to the Fiscal Agent.</w:t>
      </w:r>
    </w:p>
    <w:p w14:paraId="6DAB1647" w14:textId="77777777" w:rsidR="007409E1" w:rsidRDefault="007409E1">
      <w:pPr>
        <w:pStyle w:val="ScheduleL2"/>
      </w:pPr>
      <w:r>
        <w:t xml:space="preserve">The Mandated Dealer may invite other Dealers approved by the Issuer to join the syndicate either </w:t>
      </w:r>
      <w:proofErr w:type="gramStart"/>
      <w:r>
        <w:t>on the basis of</w:t>
      </w:r>
      <w:proofErr w:type="gramEnd"/>
      <w:r>
        <w:t xml:space="preserve"> an invitation fax agreed between the Issuer and the Mandated Dealer or on the terms of the Final Terms referred to below and the Subscription Agreement.</w:t>
      </w:r>
    </w:p>
    <w:p w14:paraId="57828FA3" w14:textId="77777777" w:rsidR="007409E1" w:rsidRDefault="007409E1">
      <w:pPr>
        <w:pStyle w:val="ScheduleL2"/>
      </w:pPr>
      <w:r>
        <w:t xml:space="preserve">The Mandated Dealer instructs the Fiscal Agent to obtain a common code and ISIN code </w:t>
      </w:r>
      <w:r w:rsidR="0063679A">
        <w:t xml:space="preserve">(and CFI and FISN if applicable) </w:t>
      </w:r>
      <w:r>
        <w:t>from Euroclear or Clearstream, Luxembourg.</w:t>
      </w:r>
    </w:p>
    <w:p w14:paraId="46CD4525" w14:textId="77777777" w:rsidR="007409E1" w:rsidRDefault="007409E1">
      <w:pPr>
        <w:pStyle w:val="ScheduleL2"/>
      </w:pPr>
      <w:r>
        <w:t xml:space="preserve">In the case of the first Tranche of Notes of a Series, the Fiscal Agent telephones Euroclear or Clearstream, Luxembourg with a request for a common code and ISIN code </w:t>
      </w:r>
      <w:r w:rsidR="0063679A">
        <w:t xml:space="preserve">(and CFI and FISN if applicable) </w:t>
      </w:r>
      <w:r>
        <w:t xml:space="preserve">for such Series and in the case of a subsequent Tranche of Notes of that Series the Fiscal Agent telephones Euroclear or Clearstream, Luxembourg with a request for a temporary common code and ISIN code </w:t>
      </w:r>
      <w:r w:rsidR="0063679A">
        <w:t xml:space="preserve">(and CFI and FISN if applicable) </w:t>
      </w:r>
      <w:r>
        <w:t>for such Tranche.</w:t>
      </w:r>
    </w:p>
    <w:p w14:paraId="4BE2699E" w14:textId="77777777" w:rsidR="007409E1" w:rsidRDefault="007409E1">
      <w:pPr>
        <w:pStyle w:val="ScheduleL2"/>
      </w:pPr>
      <w:r>
        <w:t xml:space="preserve">Each common code and ISIN code </w:t>
      </w:r>
      <w:r w:rsidR="0063679A">
        <w:t xml:space="preserve">(and CFI and FISN if applicable) </w:t>
      </w:r>
      <w:r>
        <w:t>is notified by the Fiscal Agent to the Issuer and the Mandated Dealer.</w:t>
      </w:r>
    </w:p>
    <w:p w14:paraId="47FAAFAF" w14:textId="77777777" w:rsidR="007409E1" w:rsidRDefault="007409E1">
      <w:pPr>
        <w:pStyle w:val="ScheduleL2"/>
      </w:pPr>
      <w:r>
        <w:t>The Mandated Dealer (or, if such Dealer so agrees with the Issuer, the Issuer) prepares (or procures the preparation of) the Final Terms based on or substantially on the form set out in schedule 3 (</w:t>
      </w:r>
      <w:r>
        <w:rPr>
          <w:i/>
        </w:rPr>
        <w:t>Form of Final Terms</w:t>
      </w:r>
      <w:r>
        <w:t>) to the Programme Manual.  A draft Subscription Agreement (in or substantially in the form of schedule 3 (</w:t>
      </w:r>
      <w:r>
        <w:rPr>
          <w:i/>
        </w:rPr>
        <w:t>Pro Forma Subscription Agreement</w:t>
      </w:r>
      <w:r>
        <w:t>) to the Dealer Agreement or such other form as may be agreed between the Issuer and the Relevant Dealers) is also prepared by the party agreed by the Mandated Dealer and the Issuer.</w:t>
      </w:r>
    </w:p>
    <w:p w14:paraId="7732ABE1" w14:textId="77777777" w:rsidR="007409E1" w:rsidRDefault="007409E1">
      <w:pPr>
        <w:pStyle w:val="ScheduleL2"/>
      </w:pPr>
      <w:r>
        <w:t>Copies of the draft Final Terms and draft Subscription Agreement are submitted for approval to each lawyer required to give a legal opinion in connection with the issue.</w:t>
      </w:r>
    </w:p>
    <w:p w14:paraId="6DF8D8BD" w14:textId="77777777" w:rsidR="007409E1" w:rsidRDefault="007409E1">
      <w:pPr>
        <w:pStyle w:val="ScheduleL1"/>
        <w:keepNext/>
        <w:rPr>
          <w:b/>
        </w:rPr>
      </w:pPr>
      <w:r>
        <w:rPr>
          <w:b/>
        </w:rPr>
        <w:t>At least two full business days before the Subscription Agreement is intended to be signed</w:t>
      </w:r>
    </w:p>
    <w:p w14:paraId="7E9FAA31" w14:textId="77777777" w:rsidR="007409E1" w:rsidRDefault="007409E1">
      <w:pPr>
        <w:pStyle w:val="ScheduleL2"/>
      </w:pPr>
      <w:r>
        <w:t>The Mandated Dealer sends a copy of the draft Subscription Agreement and the draft Final Terms to the other Relevant Dealers.</w:t>
      </w:r>
    </w:p>
    <w:p w14:paraId="4E510A6B" w14:textId="77777777" w:rsidR="007409E1" w:rsidRDefault="007409E1">
      <w:pPr>
        <w:pStyle w:val="ScheduleL2"/>
      </w:pPr>
      <w:r>
        <w:t>At the same time the Mandated Dealer sends a copy of the Base Prospectus and Dealer Agreement (together with such other conditions precedent documents) to any other Relevant Dealer which has not previously received such documents.</w:t>
      </w:r>
    </w:p>
    <w:p w14:paraId="16098503" w14:textId="77777777" w:rsidR="007409E1" w:rsidRDefault="007409E1">
      <w:pPr>
        <w:pStyle w:val="ScheduleL1"/>
        <w:keepNext/>
        <w:rPr>
          <w:b/>
        </w:rPr>
      </w:pPr>
      <w:r>
        <w:rPr>
          <w:b/>
        </w:rPr>
        <w:t>By 5.00pm (Local Time) no later than three Local Banking Days before the Issue Date</w:t>
      </w:r>
    </w:p>
    <w:p w14:paraId="06408B47" w14:textId="77777777" w:rsidR="007409E1" w:rsidRDefault="007409E1">
      <w:pPr>
        <w:pStyle w:val="ScheduleL2"/>
      </w:pPr>
      <w:r>
        <w:t xml:space="preserve">The Subscription Agreement and Final Terms are agreed and </w:t>
      </w:r>
      <w:proofErr w:type="gramStart"/>
      <w:r>
        <w:t>executed</w:t>
      </w:r>
      <w:proofErr w:type="gramEnd"/>
      <w:r>
        <w:t xml:space="preserve"> and a copy of the Final Terms is sent by fax to the Fiscal Agent.</w:t>
      </w:r>
    </w:p>
    <w:p w14:paraId="752BC555" w14:textId="77777777" w:rsidR="007409E1" w:rsidRDefault="007409E1">
      <w:pPr>
        <w:pStyle w:val="ScheduleL2"/>
        <w:keepNext/>
      </w:pPr>
      <w:r>
        <w:t>The Issuer confirms its instructions to the Fiscal Agent to carry out the duties to be carried out by the Fiscal Agent under the Agency Agreement and:</w:t>
      </w:r>
    </w:p>
    <w:p w14:paraId="2B3E43F8" w14:textId="77777777" w:rsidR="007409E1" w:rsidRDefault="007409E1">
      <w:pPr>
        <w:pStyle w:val="ScheduleL3"/>
      </w:pPr>
      <w:r>
        <w:t>if a Master Global Note(s) is/are to be used, ensures that the Fiscal Agent receives such details as are necessary to enable it to complete a duplicate or duplicates of the appropriate Master Global Note(s); and</w:t>
      </w:r>
    </w:p>
    <w:p w14:paraId="0EC23EC3" w14:textId="77777777" w:rsidR="007409E1" w:rsidRDefault="007409E1">
      <w:pPr>
        <w:pStyle w:val="ScheduleL3"/>
      </w:pPr>
      <w:r>
        <w:t>if a Master Global Note(s) is/are not to be used, ensures that there is delivered to the Fiscal Agent an appropriate Temporary Global Note and/or a Permanent Global Note (as the case may be), in unauthenticated form but executed on behalf of the Issuer.</w:t>
      </w:r>
    </w:p>
    <w:p w14:paraId="4CEE851F" w14:textId="77777777" w:rsidR="007409E1" w:rsidRDefault="007409E1">
      <w:pPr>
        <w:pStyle w:val="ScheduleL2"/>
      </w:pPr>
      <w:r>
        <w:t>If required by the Conditions, a Calculation Agent is appointed.</w:t>
      </w:r>
    </w:p>
    <w:p w14:paraId="7575DEA2" w14:textId="77777777" w:rsidR="007409E1" w:rsidRDefault="007409E1">
      <w:pPr>
        <w:pStyle w:val="ScheduleL1"/>
        <w:keepNext/>
        <w:rPr>
          <w:b/>
        </w:rPr>
      </w:pPr>
      <w:r>
        <w:rPr>
          <w:b/>
        </w:rPr>
        <w:t>By no later than 1.00pm (Local Time) on the business day in Ireland before the Issue Date</w:t>
      </w:r>
    </w:p>
    <w:p w14:paraId="45EAEE07" w14:textId="77777777" w:rsidR="007409E1" w:rsidRDefault="007409E1">
      <w:pPr>
        <w:pStyle w:val="BodyTextIndent"/>
      </w:pPr>
      <w:r>
        <w:t xml:space="preserve">In the case of Notes which are to be admitted to trading on the </w:t>
      </w:r>
      <w:r w:rsidR="006114A1">
        <w:t>Regulated Market</w:t>
      </w:r>
      <w:r>
        <w:t>, the Fiscal Agent notifies Euronext Dublin by fax or email of the details of the Notes to be issued by sending the Final Terms to the Irish Listing Agent for submission to Euronext Dublin.</w:t>
      </w:r>
    </w:p>
    <w:p w14:paraId="60BA6213" w14:textId="77777777" w:rsidR="007409E1" w:rsidRDefault="007409E1">
      <w:pPr>
        <w:pStyle w:val="ScheduleL1"/>
        <w:keepNext/>
        <w:rPr>
          <w:b/>
        </w:rPr>
      </w:pPr>
      <w:r>
        <w:rPr>
          <w:b/>
        </w:rPr>
        <w:t>By 3.00pm (Local Time) no later than one Local Banking Day before the Issue Date</w:t>
      </w:r>
    </w:p>
    <w:p w14:paraId="69516371" w14:textId="77777777" w:rsidR="007409E1" w:rsidRDefault="007409E1">
      <w:pPr>
        <w:pStyle w:val="ScheduleL2"/>
      </w:pPr>
      <w:r>
        <w:t>In the case of Floating Rate Notes, the Fiscal Agent notifies Euroclear, Clearstream, Luxembourg, the Issuer, the relevant stock exchange (if applicable) and the Mandated Dealer by fax or email of the Rate of Interest for the first Interest Period (if already determined).</w:t>
      </w:r>
    </w:p>
    <w:p w14:paraId="7260DF82" w14:textId="77777777" w:rsidR="007409E1" w:rsidRDefault="007409E1">
      <w:pPr>
        <w:pStyle w:val="ScheduleL2"/>
      </w:pPr>
      <w:r>
        <w:t>Where the Rate of Interest has not yet been determined, this will be notified in accordance with this paragraph as soon as it has been determined.</w:t>
      </w:r>
    </w:p>
    <w:p w14:paraId="096B68EE" w14:textId="77777777" w:rsidR="007409E1" w:rsidRDefault="007409E1">
      <w:pPr>
        <w:pStyle w:val="ScheduleL1"/>
        <w:keepNext/>
        <w:rPr>
          <w:b/>
        </w:rPr>
      </w:pPr>
      <w:r>
        <w:rPr>
          <w:b/>
        </w:rPr>
        <w:t>On the "Payment Instruction Date", being either the Issue Date or, in the case of a pre-closed issue, the day which is one Local Banking Day before the Issue Date</w:t>
      </w:r>
    </w:p>
    <w:p w14:paraId="78A518BF" w14:textId="77777777" w:rsidR="007409E1" w:rsidRDefault="007409E1">
      <w:pPr>
        <w:pStyle w:val="ScheduleL2"/>
      </w:pPr>
      <w:r>
        <w:t>If a Master Global Note(s) is/are to be used, the Fiscal Agent completes a duplicate or duplicates of the appropriate Master Global Note(s), attaches a copy of the relevant Final Terms and authenticates the completed Global Note(s).</w:t>
      </w:r>
    </w:p>
    <w:p w14:paraId="70B3509E" w14:textId="77777777" w:rsidR="007409E1" w:rsidRDefault="007409E1">
      <w:pPr>
        <w:pStyle w:val="ScheduleL2"/>
      </w:pPr>
      <w:r>
        <w:t>If a Master Global Note(s) is/are not to be used, the Fiscal Agent checks and authenticates the completed Global Note(s) supplied to it by the Issuer.</w:t>
      </w:r>
    </w:p>
    <w:p w14:paraId="2A28B9B5" w14:textId="77777777" w:rsidR="007409E1" w:rsidRDefault="007409E1">
      <w:pPr>
        <w:pStyle w:val="ScheduleL2"/>
      </w:pPr>
      <w:r>
        <w:t>The conditions precedent in the Subscription Agreement and the Dealer Agreement are satisfied and/or waived.</w:t>
      </w:r>
    </w:p>
    <w:p w14:paraId="7769156A" w14:textId="77777777" w:rsidR="007409E1" w:rsidRDefault="007409E1">
      <w:pPr>
        <w:pStyle w:val="ScheduleL2"/>
      </w:pPr>
      <w:r>
        <w:t xml:space="preserve">The Global Note(s) is/are then delivered by the Fiscal Agent to a common depositary for Euroclear and Clearstream, Luxembourg and instructions are given by the Fiscal Agent (on behalf of the Issuer) to the common depositary to </w:t>
      </w:r>
      <w:r w:rsidR="009C3E17">
        <w:t xml:space="preserve">credit </w:t>
      </w:r>
      <w:r>
        <w:t xml:space="preserve">the Notes represented by the relevant Global Note </w:t>
      </w:r>
      <w:r w:rsidR="009C3E17">
        <w:t>free of payment to the commissionaire amount of the Mandated Dealer</w:t>
      </w:r>
      <w:r>
        <w:t>.</w:t>
      </w:r>
    </w:p>
    <w:p w14:paraId="15677A59" w14:textId="77777777" w:rsidR="007409E1" w:rsidRDefault="00BA0C7E" w:rsidP="003D0511">
      <w:pPr>
        <w:pStyle w:val="ScheduleL2"/>
      </w:pPr>
      <w:r>
        <w:t>I</w:t>
      </w:r>
      <w:r w:rsidR="009C3E17">
        <w:t>f delivery "against payment" is specified in</w:t>
      </w:r>
      <w:r>
        <w:t xml:space="preserve"> </w:t>
      </w:r>
      <w:r w:rsidR="009C3E17">
        <w:t xml:space="preserve">the Final Terms, the </w:t>
      </w:r>
      <w:r>
        <w:t xml:space="preserve">Mandated Dealer </w:t>
      </w:r>
      <w:r w:rsidR="009C3E17">
        <w:t>procures</w:t>
      </w:r>
      <w:r>
        <w:t xml:space="preserve"> </w:t>
      </w:r>
      <w:r w:rsidR="009C3E17">
        <w:t>payment of the net subscription moneys into</w:t>
      </w:r>
      <w:r>
        <w:t xml:space="preserve"> </w:t>
      </w:r>
      <w:r w:rsidR="009C3E17">
        <w:t xml:space="preserve">the commissionaire account and instructs the ICSDs to pay the net subscription moneys from the </w:t>
      </w:r>
      <w:r>
        <w:t>Mandated Dealer</w:t>
      </w:r>
      <w:r w:rsidR="009C3E17">
        <w:t>'s commissionaire</w:t>
      </w:r>
      <w:r>
        <w:t xml:space="preserve"> </w:t>
      </w:r>
      <w:r w:rsidR="009C3E17">
        <w:t>account to the Issuer's order, for value on the</w:t>
      </w:r>
      <w:r>
        <w:t xml:space="preserve"> </w:t>
      </w:r>
      <w:r w:rsidR="009C3E17">
        <w:t xml:space="preserve">Issue Date against delivery of the Notes represented by the relevant Global Note to specified account of the </w:t>
      </w:r>
      <w:r>
        <w:t>Mandated Dealer.</w:t>
      </w:r>
    </w:p>
    <w:p w14:paraId="3DCD5F1B" w14:textId="77777777" w:rsidR="007409E1" w:rsidRDefault="007409E1">
      <w:pPr>
        <w:pStyle w:val="ScheduleL2"/>
      </w:pPr>
      <w:r>
        <w:t xml:space="preserve">If delivery "free of payment" is agreed between the parties and specified in the Final Terms, the Issuer, the Mandated </w:t>
      </w:r>
      <w:proofErr w:type="gramStart"/>
      <w:r>
        <w:t>Dealer</w:t>
      </w:r>
      <w:proofErr w:type="gramEnd"/>
      <w:r>
        <w:t xml:space="preserve"> and the Fiscal Agent may agree alternative payment, settlement and delivery arrangements.</w:t>
      </w:r>
    </w:p>
    <w:p w14:paraId="0AC6602F" w14:textId="77777777" w:rsidR="007409E1" w:rsidRDefault="007409E1">
      <w:pPr>
        <w:pStyle w:val="ScheduleL1"/>
        <w:keepNext/>
        <w:rPr>
          <w:b/>
        </w:rPr>
      </w:pPr>
      <w:r>
        <w:rPr>
          <w:b/>
        </w:rPr>
        <w:t>Issue Date</w:t>
      </w:r>
    </w:p>
    <w:p w14:paraId="7764A896" w14:textId="77777777" w:rsidR="007409E1" w:rsidRDefault="007409E1">
      <w:pPr>
        <w:pStyle w:val="ScheduleL2"/>
      </w:pPr>
      <w:r>
        <w:t>Euroclear and/or Clearstream, Luxembourg debit and credit accounts in accordance with instructions received by them.</w:t>
      </w:r>
    </w:p>
    <w:p w14:paraId="6BA48790" w14:textId="77777777" w:rsidR="007409E1" w:rsidRDefault="00361971">
      <w:pPr>
        <w:pStyle w:val="ScheduleL2"/>
      </w:pPr>
      <w:r w:rsidRPr="00361971">
        <w:t>Euroclear and/or Clearstream, Luxembourg pays the net subscription moneys to such account as has been designated by the Issuer</w:t>
      </w:r>
    </w:p>
    <w:p w14:paraId="21F18FEF" w14:textId="77777777" w:rsidR="007409E1" w:rsidRDefault="007409E1">
      <w:pPr>
        <w:pStyle w:val="ScheduleL1"/>
        <w:keepNext/>
        <w:rPr>
          <w:b/>
        </w:rPr>
      </w:pPr>
      <w:r>
        <w:rPr>
          <w:b/>
        </w:rPr>
        <w:t>On the Exchange Date (if necessary)</w:t>
      </w:r>
    </w:p>
    <w:p w14:paraId="4B2B7799" w14:textId="77777777" w:rsidR="007409E1" w:rsidRDefault="007409E1">
      <w:pPr>
        <w:pStyle w:val="BodyTextIndent"/>
        <w:keepNext/>
      </w:pPr>
      <w:r>
        <w:t>In the case of the first Tranche of a Series, where the Final Terms for such Tranche specifies that a Temporary Global Note shall be exchangeable for a Permanent Global Note:</w:t>
      </w:r>
    </w:p>
    <w:p w14:paraId="5D981620" w14:textId="77777777" w:rsidR="007409E1" w:rsidRDefault="007409E1">
      <w:pPr>
        <w:pStyle w:val="ScheduleL2"/>
      </w:pPr>
      <w:r>
        <w:t>if a Master Permanent Global Note is to be used, the Fiscal Agent completes a duplicate of the Master Permanent Global Note, attaches a copy of the relevant Final Terms, authenticates the completed Permanent Global Note (to the extent not already done) and delivers it to a common depositary for Euroclear and Clearstream, Luxembourg; and</w:t>
      </w:r>
    </w:p>
    <w:p w14:paraId="2E95B8E5" w14:textId="77777777" w:rsidR="007409E1" w:rsidRDefault="007409E1">
      <w:pPr>
        <w:pStyle w:val="ScheduleL2"/>
      </w:pPr>
      <w:r>
        <w:t>if a Master Permanent Global Note is not to be used, the Fiscal Agent checks and authenticates the completed Permanent Global Note supplied to it by the Issuer (to the extent not already done) and delivers it to a common depositary for Euroclear and Clearstream, Luxembourg.</w:t>
      </w:r>
    </w:p>
    <w:p w14:paraId="40E2F8EA" w14:textId="77777777" w:rsidR="007409E1" w:rsidRDefault="007409E1">
      <w:pPr>
        <w:pStyle w:val="SchHead"/>
      </w:pPr>
      <w:r>
        <w:br w:type="page"/>
      </w:r>
      <w:bookmarkStart w:id="16" w:name="_Ref493567894"/>
      <w:bookmarkStart w:id="17" w:name="_Ref493567906"/>
      <w:bookmarkStart w:id="18" w:name="_Toc60859027"/>
      <w:r>
        <w:t>Form of Final Terms</w:t>
      </w:r>
      <w:bookmarkEnd w:id="16"/>
      <w:bookmarkEnd w:id="17"/>
      <w:bookmarkEnd w:id="18"/>
    </w:p>
    <w:p w14:paraId="5E740D09" w14:textId="77777777" w:rsidR="007409E1" w:rsidRDefault="007409E1">
      <w:pPr>
        <w:pStyle w:val="SchPart"/>
        <w:numPr>
          <w:ilvl w:val="0"/>
          <w:numId w:val="0"/>
        </w:numPr>
        <w:jc w:val="left"/>
      </w:pPr>
    </w:p>
    <w:p w14:paraId="2524FEEB" w14:textId="77777777" w:rsidR="007409E1" w:rsidRDefault="007409E1">
      <w:pPr>
        <w:pStyle w:val="MarginText"/>
        <w:rPr>
          <w:b/>
        </w:rPr>
      </w:pPr>
      <w:r>
        <w:rPr>
          <w:b/>
        </w:rPr>
        <w:t xml:space="preserve">PROHIBITION OF SALES TO </w:t>
      </w:r>
      <w:r w:rsidR="00AA2F8E">
        <w:rPr>
          <w:b/>
        </w:rPr>
        <w:t xml:space="preserve">EEA </w:t>
      </w:r>
      <w:r>
        <w:rPr>
          <w:b/>
        </w:rPr>
        <w:t>RETAIL INVESTORS</w:t>
      </w:r>
    </w:p>
    <w:p w14:paraId="17543F63" w14:textId="77777777" w:rsidR="007409E1" w:rsidRDefault="007409E1">
      <w:pPr>
        <w:pStyle w:val="MarginText"/>
      </w:pPr>
      <w:r>
        <w:t>THE NOTES ARE NOT INTENDED TO BE OFFERED, SOLD OR OTHERWISE MADE AVAILABLE TO AND SHOULD NOT BE OFFERED, SOLD OR OTHERWISE MADE AVAILABLE TO ANY RETAIL INVESTOR IN THE EUROPEAN ECONOMIC AREA ("</w:t>
      </w:r>
      <w:r>
        <w:rPr>
          <w:b/>
        </w:rPr>
        <w:t>EEA</w:t>
      </w:r>
      <w:r>
        <w:t>"). FOR THESE PURPOSES, A RETAIL INVESTOR MEANS A PERSON WHO IS ONE (OR MORE) OF: (I) A RETAIL CLIENT AS DEFINED IN POINT (11) OF ARTICLE 4(1) OF DIRECTIVE 2014/65/EU (AS AMENDED "</w:t>
      </w:r>
      <w:r>
        <w:rPr>
          <w:b/>
        </w:rPr>
        <w:t>MIFID II</w:t>
      </w:r>
      <w:r>
        <w:t>")</w:t>
      </w:r>
      <w:r w:rsidR="00D57BA0">
        <w:t xml:space="preserve"> OR </w:t>
      </w:r>
      <w:r>
        <w:t xml:space="preserve">(II) A CUSTOMER WITHIN THE MEANING OF DIRECTIVE </w:t>
      </w:r>
      <w:r w:rsidR="00132F3A">
        <w:t>(EU) 2016/97</w:t>
      </w:r>
      <w:r>
        <w:t xml:space="preserve"> (THE "</w:t>
      </w:r>
      <w:r>
        <w:rPr>
          <w:b/>
        </w:rPr>
        <w:t xml:space="preserve">INSURANCE </w:t>
      </w:r>
      <w:r w:rsidR="00132F3A">
        <w:rPr>
          <w:b/>
        </w:rPr>
        <w:t>DISTRIBUTION</w:t>
      </w:r>
      <w:r>
        <w:rPr>
          <w:b/>
        </w:rPr>
        <w:t xml:space="preserve"> DIRECTIVE</w:t>
      </w:r>
      <w:r>
        <w:t xml:space="preserve">"), WHERE THAT CUSTOMER WOULD NOT QUALIFY AS A PROFESSIONAL CLIENT AS DEFINED IN POINT (10) OF ARTICLE 4(1) OF MIFID II. </w:t>
      </w:r>
      <w:proofErr w:type="gramStart"/>
      <w:r>
        <w:t>CONSEQUENTLY</w:t>
      </w:r>
      <w:proofErr w:type="gramEnd"/>
      <w:r>
        <w:t xml:space="preserve"> NO KEY INFORMATION DOCUMENT REQUIRED BY REGULATION (EU) NO 1286/2014 (THE "</w:t>
      </w:r>
      <w:r>
        <w:rPr>
          <w:b/>
        </w:rPr>
        <w:t>PRIIPS REGULATION</w:t>
      </w:r>
      <w:r>
        <w:t>") FOR OFFERING OR SELLING THE NOTES OR OTHERWISE MAKING THEM AVAILABLE TO RETAIL INVESTORS IN THE EEA HAS BEEN PREPARED AND THEREFORE OFFERING OR SELLING THE NOTES OR OTHERWISE MAKING THEM AVAILABLE TO ANY RETAIL INVESTOR IN THE EEA MAY BE UNLAWFUL UNDER THE PRIIPS REGULATION.</w:t>
      </w:r>
    </w:p>
    <w:p w14:paraId="16106D6B" w14:textId="77777777" w:rsidR="00874CEA" w:rsidRDefault="00874CEA" w:rsidP="00874CEA">
      <w:pPr>
        <w:pStyle w:val="BodyText"/>
        <w:rPr>
          <w:lang w:eastAsia="zh-CN" w:bidi="he-IL"/>
        </w:rPr>
      </w:pPr>
      <w:r>
        <w:rPr>
          <w:b/>
          <w:lang w:eastAsia="zh-CN" w:bidi="he-IL"/>
        </w:rPr>
        <w:t>PROHIBITION OF SALES TO UK RETAIL INVESTORS</w:t>
      </w:r>
    </w:p>
    <w:p w14:paraId="0F425B0B" w14:textId="77777777" w:rsidR="00DB3CBA" w:rsidRDefault="00DB3CBA" w:rsidP="003558FD">
      <w:pPr>
        <w:pStyle w:val="MarginText"/>
      </w:pPr>
      <w:r w:rsidRPr="00DB3CBA">
        <w:t>THE NOTES ARE NOT INTENDED TO BE OFFERED, SOLD OR OTHERWISE MADE AVAILABLE AND SHOULD NOT BE OFFERED, SOLD OR OTHERWISE MADE AVAILABLE TO ANY RETAIL INVESTOR IN THE UNITED KINGDOM.  FOR THE PURPOSES (A) THE EXPRESSION RETAIL INVESTOR MEANS A PERSON WHO IS ONE (OR MORE) OF THE FOLLOWING: (I) A RETAIL CLIENT, AS DEFINED IN POINT (8) OF ARTICLE 2 OF REGULATION (EU) NO 2017/565 AS IT FORMS PART OF DOMESTIC LAW BY VIRTUE OF THE EUROPEAN UNION (WITHDRAWAL) ACT 2018 ("</w:t>
      </w:r>
      <w:r w:rsidRPr="009A7A7D">
        <w:rPr>
          <w:b/>
          <w:bCs/>
        </w:rPr>
        <w:t>EUWA</w:t>
      </w:r>
      <w:r w:rsidRPr="00DB3CBA">
        <w:t xml:space="preserve">"); OR (II) A CUSTOMER WITHIN THE MEANING OF THE PROVISIONS OF THE </w:t>
      </w:r>
      <w:r w:rsidR="003558FD">
        <w:t>FINANCIAL SERVICES AND MARKETS ACT 2000 ("</w:t>
      </w:r>
      <w:r w:rsidRPr="003558FD">
        <w:rPr>
          <w:b/>
          <w:bCs/>
        </w:rPr>
        <w:t>FSMA</w:t>
      </w:r>
      <w:r w:rsidR="003558FD" w:rsidRPr="00DB3CBA">
        <w:t>"</w:t>
      </w:r>
      <w:r w:rsidR="003558FD">
        <w:t>)</w:t>
      </w:r>
      <w:r w:rsidRPr="00DB3CBA">
        <w:t xml:space="preserve">  AND ANY RULES OR REGULATIONS MADE UNDER THE FSMA TO IMPLEMENT DIRECTIVE (EU) 2016/97, WHERE THAT CUSTOMER WOULD NOT QUALIFY AS A PROFESSIONAL CLIENT, AS DEFINED IN POINT (8) OF ARTICLE 2(1) OF REGULATION (EU) NO 600/2014 AS IT FORMS PART OF DOMESTIC LAW BY VIRTUE OF THE EUWA</w:t>
      </w:r>
      <w:r>
        <w:t>.</w:t>
      </w:r>
      <w:r w:rsidR="009A7A7D">
        <w:t xml:space="preserve"> </w:t>
      </w:r>
      <w:r w:rsidR="009A7A7D" w:rsidRPr="009A7A7D">
        <w:t>CONSEQUENTLY NO KEY INFORMATION DOCUMENT REQUIRED BY REGULATION (EU) NO 1286/2014</w:t>
      </w:r>
      <w:r w:rsidR="009A7A7D">
        <w:t xml:space="preserve"> AS IT FORMS PART OF DOMESTIC LAW BY VIRTUE OF THE EUWA </w:t>
      </w:r>
      <w:r w:rsidR="009A7A7D" w:rsidRPr="009A7A7D">
        <w:t>(THE "</w:t>
      </w:r>
      <w:r w:rsidR="009A7A7D" w:rsidRPr="009A7A7D">
        <w:rPr>
          <w:b/>
          <w:bCs/>
        </w:rPr>
        <w:t>UK</w:t>
      </w:r>
      <w:r w:rsidR="009A7A7D">
        <w:rPr>
          <w:b/>
          <w:bCs/>
        </w:rPr>
        <w:t xml:space="preserve"> </w:t>
      </w:r>
      <w:r w:rsidR="009A7A7D" w:rsidRPr="009A7A7D">
        <w:rPr>
          <w:b/>
          <w:bCs/>
        </w:rPr>
        <w:t>PRIIPS REGULATION</w:t>
      </w:r>
      <w:r w:rsidR="009A7A7D" w:rsidRPr="009A7A7D">
        <w:t xml:space="preserve">") FOR OFFERING OR SELLING THE NOTES OR OTHERWISE MAKING THEM AVAILABLE TO RETAIL INVESTORS IN THE </w:t>
      </w:r>
      <w:r w:rsidR="009A7A7D">
        <w:t>UK</w:t>
      </w:r>
      <w:r w:rsidR="009A7A7D" w:rsidRPr="009A7A7D">
        <w:t xml:space="preserve"> HAS BEEN PREPARED AND THEREFORE OFFERING OR SELLING THE NOTES OR OTHERWISE MAKING THEM AVAILABLE TO ANY RETAIL INVESTOR IN THE </w:t>
      </w:r>
      <w:r w:rsidR="009A7A7D">
        <w:t>UK</w:t>
      </w:r>
      <w:r w:rsidR="009A7A7D" w:rsidRPr="009A7A7D">
        <w:t xml:space="preserve"> MAY BE UNLAWFUL UNDER THE </w:t>
      </w:r>
      <w:r w:rsidR="009A7A7D">
        <w:t xml:space="preserve">UK </w:t>
      </w:r>
      <w:r w:rsidR="009A7A7D" w:rsidRPr="009A7A7D">
        <w:t>PRIIPS REGULATION.</w:t>
      </w:r>
    </w:p>
    <w:p w14:paraId="7FAB7F2C" w14:textId="77777777" w:rsidR="007409E1" w:rsidRDefault="007409E1">
      <w:pPr>
        <w:pStyle w:val="MarginText"/>
      </w:pPr>
      <w:r>
        <w:rPr>
          <w:b/>
        </w:rPr>
        <w:t>MiFID II PRODUCT GOVERNANCE / PROFESSIONAL INVESTORS AND ELIGIBLE COUNTERPARTIES ONLY TARGET MARKET</w:t>
      </w:r>
      <w:r>
        <w:t xml:space="preserve"> – SOLELY FOR THE PURPOSES OF [THE/EACH] MANUFACTURER’S PRODUCT APPROVAL PROCESS, THE TARGET MARKET ASSESSMENT IN RESPECT OF THE NOTES HAS LED TO THE CONCLUSION THAT: (I) THE TARGET MARKET FOR THE NOTES IS ELIGIBLE COUNTERPARTIES AND PROFESSIONAL CLIENTS ONLY, EACH AS DEFINED IN MIFID II; AND (II) ALL CHANNELS FOR DISTRIBUTION OF THE NOTES TO ELIGIBLE COUNTERPARTIES AND PROFESSIONAL CLIENTS ARE APPROPRIATE. ANY PERSON SUBSEQUENTLY OFFERING, SELLING OR RECOMMENDING THE NOTES (A "DISTRIBUTOR") SHOULD TAKE INTO CONSIDERATION THE MANUFACTURER [’S/S’] TARGET MARKET ASSESSMENT; HOWEVER, A DISTRIBUTOR SUBJECT TO MIFID II IS RESPONSIBLE FOR UNDERTAKING ITS OWN TARGET MARKET ASSESSMENT IN RESPECT OF THE NOTES (BY EITHER ADOPTING OR REFINING THE MANUFACTURER [’S/S’] TARGET MARKET ASSESSMENT) AND DETERMINING APPROPRIATE DISTRIBUTION CHANNELS.</w:t>
      </w:r>
    </w:p>
    <w:p w14:paraId="713AB471" w14:textId="77777777" w:rsidR="00A53851" w:rsidRDefault="00A53851" w:rsidP="00A53851">
      <w:pPr>
        <w:pStyle w:val="MarginText"/>
      </w:pPr>
      <w:r>
        <w:t>[</w:t>
      </w:r>
      <w:r w:rsidRPr="00FB4DE8">
        <w:rPr>
          <w:b/>
          <w:bCs/>
        </w:rPr>
        <w:t>UK</w:t>
      </w:r>
      <w:r>
        <w:t xml:space="preserve"> </w:t>
      </w:r>
      <w:r>
        <w:rPr>
          <w:b/>
        </w:rPr>
        <w:t>MiFIR PRODUCT GOVERNANCE / PROFESSIONAL INVESTORS AND ELIGIBLE COUNTERPARTIES ONLY TARGET MARKET</w:t>
      </w:r>
      <w:r>
        <w:t xml:space="preserve"> – SOLELY FOR THE PURPOSES OF [THE/EACH] MANUFACTURER’S PRODUCT APPROVAL PROCESS, THE TARGET MARKET ASSESSMENT IN RESPECT OF THE NOTES HAS LED TO THE CONCLUSION THAT: (I) THE TARGET MARKET FOR THE NOTES IS ONLY ELIGIBLE COUNTERPARTIES, AS DEFINED IN THE FCA HANDBOOK CONDUCT OF BUSINESS SOURCEBOOK (</w:t>
      </w:r>
      <w:r w:rsidRPr="00DB3CBA">
        <w:t>"</w:t>
      </w:r>
      <w:r w:rsidRPr="00A53851">
        <w:rPr>
          <w:b/>
          <w:bCs/>
        </w:rPr>
        <w:t>COBS</w:t>
      </w:r>
      <w:r w:rsidRPr="00DB3CBA">
        <w:t>"</w:t>
      </w:r>
      <w:r>
        <w:t xml:space="preserve">), AND PROFESSIONAL CLIENTS, AS DEFINED IN REGULATION (EU) NO 600/2014 AS IT FORMS PART OF DOMESTIC LAW BY VIRTUE OF THE </w:t>
      </w:r>
      <w:r w:rsidRPr="00DB3CBA">
        <w:t xml:space="preserve">THE EUROPEAN UNION (WITHDRAWAL) ACT 2018 </w:t>
      </w:r>
      <w:r>
        <w:t>(</w:t>
      </w:r>
      <w:r w:rsidRPr="00DB3CBA">
        <w:t>"</w:t>
      </w:r>
      <w:r w:rsidRPr="00A53851">
        <w:rPr>
          <w:b/>
          <w:bCs/>
        </w:rPr>
        <w:t>UK MiFIR</w:t>
      </w:r>
      <w:r w:rsidRPr="00DB3CBA">
        <w:t>"</w:t>
      </w:r>
      <w:r>
        <w:t>) ; AND (II) ALL CHANNELS FOR DISTRIBUTION OF THE NOTES TO ELIGIBLE COUNTERPARTIES AND PROFESSIONAL CLIENTS ARE APPROPRIATE. ANY PERSON SUBSEQUENTLY OFFERING, SELLING OR RECOMMENDING THE NOTES (A "</w:t>
      </w:r>
      <w:r w:rsidRPr="00A53851">
        <w:rPr>
          <w:b/>
          <w:bCs/>
        </w:rPr>
        <w:t>DISTRIBUTOR</w:t>
      </w:r>
      <w:r>
        <w:t>") SHOULD TAKE INTO CONSIDERATION THE MANUFACTURER [’S/S’] TARGET MARKET ASSESSMENT; HOWEVER, A DISTRIBUTOR SUBJECT TO THE FCA HANDBOOK PRODUCT INTERVENTION AND PRODUCT</w:t>
      </w:r>
      <w:r w:rsidR="00FB4DE8">
        <w:t xml:space="preserve"> GOVERNANCE  SOURCEBOOK (THE </w:t>
      </w:r>
      <w:r w:rsidR="00FB4DE8" w:rsidRPr="00DB3CBA">
        <w:t>"</w:t>
      </w:r>
      <w:r w:rsidR="00FB4DE8" w:rsidRPr="00FB4DE8">
        <w:rPr>
          <w:b/>
          <w:bCs/>
        </w:rPr>
        <w:t>UK  MiFIR PRODUCT GOVERNANCE RULES</w:t>
      </w:r>
      <w:r w:rsidR="00FB4DE8" w:rsidRPr="00DB3CBA">
        <w:t>"</w:t>
      </w:r>
      <w:r w:rsidR="00FB4DE8">
        <w:t xml:space="preserve">) </w:t>
      </w:r>
      <w:r>
        <w:t>IS RESPONSIBLE FOR UNDERTAKING ITS OWN TARGET MARKET ASSESSMENT IN RESPECT OF THE NOTES (BY EITHER ADOPTING OR REFINING THE MANUFACTURER [’S/S’] TARGET MARKET ASSESSMENT) AND DETERMINING APPROPRIATE DISTRIBUTION CHANNELS.]</w:t>
      </w:r>
    </w:p>
    <w:p w14:paraId="74293DD2" w14:textId="77777777" w:rsidR="00A53851" w:rsidRDefault="00A53851">
      <w:pPr>
        <w:pStyle w:val="MarginText"/>
      </w:pPr>
    </w:p>
    <w:p w14:paraId="6D359B58" w14:textId="77777777" w:rsidR="007409E1" w:rsidRDefault="007409E1">
      <w:pPr>
        <w:pStyle w:val="MarginText"/>
        <w:rPr>
          <w:b/>
          <w:lang w:val="en-US"/>
        </w:rPr>
      </w:pPr>
      <w:r>
        <w:rPr>
          <w:b/>
          <w:lang w:val="en-US"/>
        </w:rPr>
        <w:t>Final Terms dated [●]</w:t>
      </w:r>
    </w:p>
    <w:p w14:paraId="3C957B20" w14:textId="77777777" w:rsidR="007409E1" w:rsidRDefault="007409E1">
      <w:pPr>
        <w:pStyle w:val="MarginText"/>
        <w:jc w:val="center"/>
        <w:rPr>
          <w:b/>
          <w:lang w:val="es-ES"/>
        </w:rPr>
      </w:pPr>
      <w:r>
        <w:rPr>
          <w:b/>
          <w:lang w:val="es-ES"/>
        </w:rPr>
        <w:t>ADIF-ALTA VELOCIDAD</w:t>
      </w:r>
    </w:p>
    <w:p w14:paraId="4DA153B7" w14:textId="77777777" w:rsidR="007409E1" w:rsidRDefault="007409E1">
      <w:pPr>
        <w:pStyle w:val="MarginText"/>
        <w:jc w:val="center"/>
        <w:rPr>
          <w:b/>
          <w:lang w:val="es-ES"/>
        </w:rPr>
      </w:pPr>
      <w:r>
        <w:rPr>
          <w:b/>
          <w:lang w:val="es-ES"/>
        </w:rPr>
        <w:t xml:space="preserve">Legal entity identifier (LEI): </w:t>
      </w:r>
      <w:r w:rsidR="009D6557">
        <w:rPr>
          <w:b/>
          <w:lang w:val="es-ES"/>
        </w:rPr>
        <w:t>959800D5SDA4R1CG7K10</w:t>
      </w:r>
    </w:p>
    <w:p w14:paraId="41156C32" w14:textId="77777777" w:rsidR="007409E1" w:rsidRDefault="007409E1">
      <w:pPr>
        <w:pStyle w:val="MarginText"/>
        <w:spacing w:after="0"/>
        <w:jc w:val="center"/>
        <w:rPr>
          <w:b/>
        </w:rPr>
      </w:pPr>
      <w:r>
        <w:rPr>
          <w:b/>
        </w:rPr>
        <w:t>Issue of [Aggregate Nominal Amount of Tranche] [Title of Notes]</w:t>
      </w:r>
    </w:p>
    <w:p w14:paraId="6DE49666" w14:textId="77777777" w:rsidR="007409E1" w:rsidRDefault="007409E1">
      <w:pPr>
        <w:pStyle w:val="MarginText"/>
        <w:jc w:val="center"/>
      </w:pPr>
      <w:r>
        <w:t>[</w:t>
      </w:r>
      <w:r>
        <w:rPr>
          <w:i/>
        </w:rPr>
        <w:t xml:space="preserve">Indicate in title if the Notes are green bonds, ie, if issued to finance Eligible </w:t>
      </w:r>
      <w:r w:rsidR="00C56DD0">
        <w:rPr>
          <w:i/>
        </w:rPr>
        <w:t>Green</w:t>
      </w:r>
      <w:r>
        <w:rPr>
          <w:i/>
        </w:rPr>
        <w:t xml:space="preserve"> Projects</w:t>
      </w:r>
      <w:r>
        <w:t>]</w:t>
      </w:r>
    </w:p>
    <w:p w14:paraId="756AB7E5" w14:textId="77777777" w:rsidR="007409E1" w:rsidRDefault="007409E1">
      <w:pPr>
        <w:pStyle w:val="MarginText"/>
        <w:jc w:val="center"/>
        <w:rPr>
          <w:b/>
        </w:rPr>
      </w:pPr>
      <w:r>
        <w:rPr>
          <w:b/>
        </w:rPr>
        <w:t>€</w:t>
      </w:r>
      <w:r w:rsidR="00E828BA">
        <w:rPr>
          <w:b/>
        </w:rPr>
        <w:t>8</w:t>
      </w:r>
      <w:r>
        <w:rPr>
          <w:b/>
        </w:rPr>
        <w:t>,000,000,000</w:t>
      </w:r>
      <w:r>
        <w:rPr>
          <w:b/>
        </w:rPr>
        <w:br/>
        <w:t>Euro Medium Term Note Programme</w:t>
      </w:r>
    </w:p>
    <w:p w14:paraId="1A1DBB50" w14:textId="77777777" w:rsidR="007409E1" w:rsidRDefault="007409E1">
      <w:pPr>
        <w:pStyle w:val="SchPart"/>
        <w:numPr>
          <w:ilvl w:val="0"/>
          <w:numId w:val="0"/>
        </w:numPr>
      </w:pPr>
      <w:bookmarkStart w:id="19" w:name="_Toc493780780"/>
      <w:bookmarkStart w:id="20" w:name="_Toc24457239"/>
      <w:bookmarkStart w:id="21" w:name="_Toc60859028"/>
      <w:r>
        <w:t>PART A - CONTRACTUAL TERMS</w:t>
      </w:r>
      <w:bookmarkEnd w:id="19"/>
      <w:bookmarkEnd w:id="20"/>
      <w:bookmarkEnd w:id="21"/>
    </w:p>
    <w:p w14:paraId="01A7ADEE" w14:textId="77777777" w:rsidR="007409E1" w:rsidRDefault="007409E1">
      <w:pPr>
        <w:pStyle w:val="MarginText"/>
      </w:pPr>
      <w:r>
        <w:t xml:space="preserve">[Terms used herein shall be deemed to be defined as such for the purposes of the Conditions (the </w:t>
      </w:r>
      <w:r>
        <w:rPr>
          <w:b/>
        </w:rPr>
        <w:t>"Conditions"</w:t>
      </w:r>
      <w:r>
        <w:t xml:space="preserve">) set forth in the Base Prospectus dated </w:t>
      </w:r>
      <w:r w:rsidR="00C43165">
        <w:t>11</w:t>
      </w:r>
      <w:r w:rsidR="00BC16C1">
        <w:t xml:space="preserve"> April </w:t>
      </w:r>
      <w:r w:rsidR="006018E0" w:rsidRPr="006018E0">
        <w:t>2023</w:t>
      </w:r>
      <w:r w:rsidR="00132F3A">
        <w:t xml:space="preserve"> </w:t>
      </w:r>
      <w:r>
        <w:t>[and the supplemental Base Prospectus dated [</w:t>
      </w:r>
      <w:r>
        <w:rPr>
          <w:rFonts w:ascii="Wingdings" w:hAnsi="Wingdings"/>
        </w:rPr>
        <w:t></w:t>
      </w:r>
      <w:r>
        <w:rPr>
          <w:rFonts w:hint="eastAsia"/>
        </w:rPr>
        <w:t>                    </w:t>
      </w:r>
      <w:r>
        <w:t>] 20[</w:t>
      </w:r>
      <w:r>
        <w:rPr>
          <w:rFonts w:ascii="Wingdings" w:hAnsi="Wingdings"/>
        </w:rPr>
        <w:t></w:t>
      </w:r>
      <w:r>
        <w:t xml:space="preserve">]] which [together] constitute[s] a base prospectus (the </w:t>
      </w:r>
      <w:r>
        <w:rPr>
          <w:b/>
        </w:rPr>
        <w:t>"Base Prospectus"</w:t>
      </w:r>
      <w:r>
        <w:t xml:space="preserve">) for the purposes of the Prospectus </w:t>
      </w:r>
      <w:r w:rsidR="00312966">
        <w:t>Regulation</w:t>
      </w:r>
      <w:r>
        <w:t xml:space="preserve">.  This document constitutes the Final Terms of the Notes described herein for the purposes of the Prospectus </w:t>
      </w:r>
      <w:r w:rsidR="00312966">
        <w:t>Regulation</w:t>
      </w:r>
      <w:r>
        <w:t xml:space="preserve"> and must be read in conjunction with the Base Prospectus</w:t>
      </w:r>
      <w:r w:rsidR="00132F3A">
        <w:t xml:space="preserve"> in order to obtain all the relevant information</w:t>
      </w:r>
      <w:r>
        <w:t>.]</w:t>
      </w:r>
    </w:p>
    <w:p w14:paraId="18C829FA" w14:textId="77777777" w:rsidR="007409E1" w:rsidRDefault="007409E1">
      <w:pPr>
        <w:pStyle w:val="MarginText"/>
      </w:pPr>
      <w:r>
        <w:t>[Terms used herein shall be deemed to be defined as such for the purposes of the [</w:t>
      </w:r>
      <w:r w:rsidR="006018E0">
        <w:t>2022/</w:t>
      </w:r>
      <w:r w:rsidR="00D57BA0">
        <w:t>2021/</w:t>
      </w:r>
      <w:r w:rsidR="00361A0E">
        <w:t>2019/</w:t>
      </w:r>
      <w:r w:rsidR="00C42DB6">
        <w:t>2018/</w:t>
      </w:r>
      <w:r>
        <w:t xml:space="preserve">2017/2016/2014] Conditions (the </w:t>
      </w:r>
      <w:r>
        <w:rPr>
          <w:b/>
        </w:rPr>
        <w:t>"Conditions"</w:t>
      </w:r>
      <w:r>
        <w:t xml:space="preserve">) incorporated by reference in the Base Prospectus dated </w:t>
      </w:r>
      <w:r w:rsidR="00C43165">
        <w:t>11</w:t>
      </w:r>
      <w:r w:rsidR="00BC16C1">
        <w:t xml:space="preserve"> April </w:t>
      </w:r>
      <w:r w:rsidR="006018E0" w:rsidRPr="006018E0">
        <w:t>2023</w:t>
      </w:r>
      <w:r>
        <w:t xml:space="preserve">.  This document constitutes the Final Terms relating to the issue of Notes described herein for the purposes of the Prospectus </w:t>
      </w:r>
      <w:r w:rsidR="00312966">
        <w:t>Regulation</w:t>
      </w:r>
      <w:r>
        <w:t xml:space="preserve"> and must be read in conjunction with the Base Prospectus dated </w:t>
      </w:r>
      <w:r w:rsidR="006018E0" w:rsidRPr="006018E0">
        <w:t>[•] 2023</w:t>
      </w:r>
      <w:r w:rsidR="00C42DB6">
        <w:t xml:space="preserve"> </w:t>
      </w:r>
      <w:r>
        <w:t>[and the supplemental Base Prospectus dated [</w:t>
      </w:r>
      <w:r>
        <w:rPr>
          <w:rFonts w:ascii="Wingdings" w:hAnsi="Wingdings"/>
        </w:rPr>
        <w:t></w:t>
      </w:r>
      <w:r>
        <w:rPr>
          <w:rFonts w:hint="eastAsia"/>
        </w:rPr>
        <w:t>                    </w:t>
      </w:r>
      <w:r>
        <w:t>] 20[</w:t>
      </w:r>
      <w:r>
        <w:rPr>
          <w:rFonts w:ascii="Wingdings" w:hAnsi="Wingdings"/>
        </w:rPr>
        <w:t></w:t>
      </w:r>
      <w:r>
        <w:t xml:space="preserve">]] which [together] constitute[s] a base prospectus (the </w:t>
      </w:r>
      <w:r>
        <w:rPr>
          <w:b/>
        </w:rPr>
        <w:t>"Base Prospectus"</w:t>
      </w:r>
      <w:r>
        <w:t xml:space="preserve">) for the purposes the Prospectus </w:t>
      </w:r>
      <w:r w:rsidR="00312966">
        <w:t>Regulation</w:t>
      </w:r>
      <w:r w:rsidR="00C42DB6">
        <w:t xml:space="preserve"> in order to obtain all the relevant information</w:t>
      </w:r>
      <w:r>
        <w:t>, save in respect of the Conditions which are set forth in the base prospectus dated [</w:t>
      </w:r>
      <w:r w:rsidR="006018E0">
        <w:t xml:space="preserve">11 February 2022/ </w:t>
      </w:r>
      <w:r w:rsidR="00D57BA0">
        <w:t xml:space="preserve">26 January 2021/ </w:t>
      </w:r>
      <w:r w:rsidR="00361A0E">
        <w:t>15 November 2019/</w:t>
      </w:r>
      <w:r w:rsidR="00C42DB6">
        <w:t>13 November 2018/</w:t>
      </w:r>
      <w:r>
        <w:t>13 November 2017/2 August 2016/30 April 2014] and are incorporated by reference in the Base Prospectus.]</w:t>
      </w:r>
    </w:p>
    <w:p w14:paraId="51FF1D3C" w14:textId="77777777" w:rsidR="007409E1" w:rsidRDefault="007409E1">
      <w:pPr>
        <w:pStyle w:val="MarginText"/>
      </w:pPr>
      <w:r>
        <w:t>Full information on the Issuer and the offer of the Notes is only available on the basis of the combination of these Final Terms and the Base Prospectus.  The Base Prospectus is available for viewing on the websites of the Irish Stock Exchange trading as Euronext Dublin ("</w:t>
      </w:r>
      <w:r>
        <w:rPr>
          <w:b/>
        </w:rPr>
        <w:t>Euronext Dublin"</w:t>
      </w:r>
      <w:r>
        <w:t xml:space="preserve">) </w:t>
      </w:r>
      <w:r w:rsidR="00743643" w:rsidRPr="00743643">
        <w:rPr>
          <w:szCs w:val="22"/>
        </w:rPr>
        <w:t>(</w:t>
      </w:r>
      <w:r w:rsidR="00743643" w:rsidRPr="00743643">
        <w:rPr>
          <w:rFonts w:eastAsia="TimesNewRoman"/>
          <w:szCs w:val="22"/>
          <w:lang w:val="en-US" w:eastAsia="es-ES"/>
        </w:rPr>
        <w:t>https://live.euronext.com/</w:t>
      </w:r>
      <w:r w:rsidRPr="00743643">
        <w:rPr>
          <w:szCs w:val="22"/>
        </w:rPr>
        <w:t>)</w:t>
      </w:r>
      <w:r>
        <w:t xml:space="preserve"> [and during normal business hours at [address] [and copies may be obtained from [</w:t>
      </w:r>
      <w:r w:rsidRPr="006C0B2A">
        <w:rPr>
          <w:i/>
          <w:iCs/>
        </w:rPr>
        <w:t>address</w:t>
      </w:r>
      <w:r>
        <w:t>]].</w:t>
      </w:r>
    </w:p>
    <w:p w14:paraId="43115BBA" w14:textId="77777777" w:rsidR="00D42069" w:rsidRDefault="00D42069" w:rsidP="00D42069">
      <w:pPr>
        <w:pStyle w:val="BodyText"/>
      </w:pPr>
      <w:r>
        <w:t>[The expression "</w:t>
      </w:r>
      <w:r>
        <w:rPr>
          <w:b/>
          <w:bCs/>
        </w:rPr>
        <w:t>Prospectus Regulation</w:t>
      </w:r>
      <w:r>
        <w:t>" means Regulation (EU) 2017/1129]</w:t>
      </w:r>
      <w:r>
        <w:rPr>
          <w:rStyle w:val="FootnoteReference"/>
        </w:rPr>
        <w:footnoteReference w:id="2"/>
      </w:r>
    </w:p>
    <w:tbl>
      <w:tblPr>
        <w:tblW w:w="0" w:type="auto"/>
        <w:tblLook w:val="04A0" w:firstRow="1" w:lastRow="0" w:firstColumn="1" w:lastColumn="0" w:noHBand="0" w:noVBand="1"/>
      </w:tblPr>
      <w:tblGrid>
        <w:gridCol w:w="828"/>
        <w:gridCol w:w="4140"/>
        <w:gridCol w:w="4277"/>
      </w:tblGrid>
      <w:tr w:rsidR="007409E1" w14:paraId="19788601" w14:textId="77777777">
        <w:tc>
          <w:tcPr>
            <w:tcW w:w="828" w:type="dxa"/>
            <w:shd w:val="clear" w:color="auto" w:fill="auto"/>
          </w:tcPr>
          <w:p w14:paraId="0BF8D753" w14:textId="77777777" w:rsidR="007409E1" w:rsidRDefault="007409E1">
            <w:pPr>
              <w:pStyle w:val="ScheduleL1"/>
              <w:numPr>
                <w:ilvl w:val="0"/>
                <w:numId w:val="21"/>
              </w:numPr>
              <w:overflowPunct w:val="0"/>
              <w:autoSpaceDE w:val="0"/>
              <w:autoSpaceDN w:val="0"/>
              <w:spacing w:before="120" w:after="120"/>
              <w:textAlignment w:val="baseline"/>
            </w:pPr>
          </w:p>
        </w:tc>
        <w:tc>
          <w:tcPr>
            <w:tcW w:w="4140" w:type="dxa"/>
            <w:shd w:val="clear" w:color="auto" w:fill="auto"/>
          </w:tcPr>
          <w:p w14:paraId="64693C14" w14:textId="77777777" w:rsidR="007409E1" w:rsidRDefault="007409E1">
            <w:pPr>
              <w:pStyle w:val="Table-Text"/>
              <w:overflowPunct w:val="0"/>
              <w:autoSpaceDE w:val="0"/>
              <w:autoSpaceDN w:val="0"/>
              <w:textAlignment w:val="baseline"/>
            </w:pPr>
            <w:r>
              <w:t>Issuer:</w:t>
            </w:r>
          </w:p>
        </w:tc>
        <w:tc>
          <w:tcPr>
            <w:tcW w:w="4277" w:type="dxa"/>
            <w:shd w:val="clear" w:color="auto" w:fill="auto"/>
          </w:tcPr>
          <w:p w14:paraId="3432BC8F" w14:textId="77777777" w:rsidR="007409E1" w:rsidRDefault="007409E1">
            <w:pPr>
              <w:pStyle w:val="Table-Text"/>
              <w:overflowPunct w:val="0"/>
              <w:autoSpaceDE w:val="0"/>
              <w:autoSpaceDN w:val="0"/>
              <w:jc w:val="both"/>
              <w:textAlignment w:val="baseline"/>
            </w:pPr>
            <w:r>
              <w:t>Adif-Alta Velocidad</w:t>
            </w:r>
          </w:p>
        </w:tc>
      </w:tr>
      <w:tr w:rsidR="007409E1" w14:paraId="79E070B7" w14:textId="77777777">
        <w:tc>
          <w:tcPr>
            <w:tcW w:w="828" w:type="dxa"/>
            <w:shd w:val="clear" w:color="auto" w:fill="auto"/>
          </w:tcPr>
          <w:p w14:paraId="3FB995DA" w14:textId="77777777" w:rsidR="007409E1" w:rsidRDefault="007409E1">
            <w:pPr>
              <w:pStyle w:val="ScheduleL1"/>
              <w:overflowPunct w:val="0"/>
              <w:autoSpaceDE w:val="0"/>
              <w:autoSpaceDN w:val="0"/>
              <w:spacing w:before="120" w:after="120"/>
              <w:textAlignment w:val="baseline"/>
            </w:pPr>
          </w:p>
        </w:tc>
        <w:tc>
          <w:tcPr>
            <w:tcW w:w="4140" w:type="dxa"/>
            <w:shd w:val="clear" w:color="auto" w:fill="auto"/>
          </w:tcPr>
          <w:p w14:paraId="4DB69C98" w14:textId="77777777" w:rsidR="007409E1" w:rsidRDefault="007409E1">
            <w:pPr>
              <w:pStyle w:val="Table-Text"/>
              <w:numPr>
                <w:ilvl w:val="0"/>
                <w:numId w:val="20"/>
              </w:numPr>
              <w:tabs>
                <w:tab w:val="clear" w:pos="648"/>
              </w:tabs>
              <w:overflowPunct w:val="0"/>
              <w:autoSpaceDE w:val="0"/>
              <w:autoSpaceDN w:val="0"/>
              <w:ind w:left="-18"/>
              <w:textAlignment w:val="baseline"/>
            </w:pPr>
            <w:r>
              <w:t>[Series Number:]</w:t>
            </w:r>
          </w:p>
        </w:tc>
        <w:tc>
          <w:tcPr>
            <w:tcW w:w="4277" w:type="dxa"/>
            <w:shd w:val="clear" w:color="auto" w:fill="auto"/>
          </w:tcPr>
          <w:p w14:paraId="71A2493C" w14:textId="77777777" w:rsidR="007409E1" w:rsidRDefault="007409E1">
            <w:pPr>
              <w:pStyle w:val="Table-Text"/>
              <w:overflowPunct w:val="0"/>
              <w:autoSpaceDE w:val="0"/>
              <w:autoSpaceDN w:val="0"/>
              <w:jc w:val="both"/>
              <w:textAlignment w:val="baseline"/>
            </w:pPr>
            <w:r>
              <w:t>[</w:t>
            </w:r>
            <w:r>
              <w:rPr>
                <w:rFonts w:ascii="Wingdings" w:hAnsi="Wingdings"/>
              </w:rPr>
              <w:t></w:t>
            </w:r>
            <w:r>
              <w:rPr>
                <w:rFonts w:hint="eastAsia"/>
              </w:rPr>
              <w:t>                    </w:t>
            </w:r>
            <w:r>
              <w:t>]</w:t>
            </w:r>
          </w:p>
        </w:tc>
      </w:tr>
      <w:tr w:rsidR="007409E1" w14:paraId="7599B5C1" w14:textId="77777777">
        <w:tc>
          <w:tcPr>
            <w:tcW w:w="828" w:type="dxa"/>
            <w:shd w:val="clear" w:color="auto" w:fill="auto"/>
          </w:tcPr>
          <w:p w14:paraId="3251084E" w14:textId="77777777" w:rsidR="007409E1" w:rsidRDefault="007409E1">
            <w:pPr>
              <w:pStyle w:val="ScheduleL1"/>
              <w:numPr>
                <w:ilvl w:val="0"/>
                <w:numId w:val="0"/>
              </w:numPr>
              <w:overflowPunct w:val="0"/>
              <w:autoSpaceDE w:val="0"/>
              <w:autoSpaceDN w:val="0"/>
              <w:spacing w:before="120" w:after="120"/>
              <w:textAlignment w:val="baseline"/>
            </w:pPr>
          </w:p>
        </w:tc>
        <w:tc>
          <w:tcPr>
            <w:tcW w:w="4140" w:type="dxa"/>
            <w:shd w:val="clear" w:color="auto" w:fill="auto"/>
          </w:tcPr>
          <w:p w14:paraId="69B85A7F" w14:textId="77777777" w:rsidR="007409E1" w:rsidRDefault="007409E1">
            <w:pPr>
              <w:pStyle w:val="Table-Text"/>
              <w:numPr>
                <w:ilvl w:val="0"/>
                <w:numId w:val="20"/>
              </w:numPr>
              <w:tabs>
                <w:tab w:val="clear" w:pos="648"/>
              </w:tabs>
              <w:overflowPunct w:val="0"/>
              <w:autoSpaceDE w:val="0"/>
              <w:autoSpaceDN w:val="0"/>
              <w:ind w:hanging="738"/>
              <w:textAlignment w:val="baseline"/>
            </w:pPr>
            <w:r>
              <w:t>Tranche Number:</w:t>
            </w:r>
          </w:p>
        </w:tc>
        <w:tc>
          <w:tcPr>
            <w:tcW w:w="4277" w:type="dxa"/>
            <w:shd w:val="clear" w:color="auto" w:fill="auto"/>
          </w:tcPr>
          <w:p w14:paraId="6074A2E3" w14:textId="77777777" w:rsidR="007409E1" w:rsidRDefault="007409E1">
            <w:pPr>
              <w:pStyle w:val="Table-Text"/>
              <w:overflowPunct w:val="0"/>
              <w:autoSpaceDE w:val="0"/>
              <w:autoSpaceDN w:val="0"/>
              <w:jc w:val="both"/>
              <w:textAlignment w:val="baseline"/>
            </w:pPr>
            <w:r>
              <w:t>[</w:t>
            </w:r>
            <w:r>
              <w:rPr>
                <w:rFonts w:ascii="Wingdings" w:hAnsi="Wingdings"/>
              </w:rPr>
              <w:t></w:t>
            </w:r>
            <w:r>
              <w:rPr>
                <w:rFonts w:hint="eastAsia"/>
              </w:rPr>
              <w:t>                    </w:t>
            </w:r>
            <w:r>
              <w:t>]</w:t>
            </w:r>
          </w:p>
        </w:tc>
      </w:tr>
      <w:tr w:rsidR="007409E1" w14:paraId="1B5E8DD6" w14:textId="77777777">
        <w:tc>
          <w:tcPr>
            <w:tcW w:w="828" w:type="dxa"/>
            <w:shd w:val="clear" w:color="auto" w:fill="auto"/>
          </w:tcPr>
          <w:p w14:paraId="24DE9E68" w14:textId="77777777" w:rsidR="007409E1" w:rsidRDefault="007409E1">
            <w:pPr>
              <w:pStyle w:val="ScheduleL1"/>
              <w:numPr>
                <w:ilvl w:val="0"/>
                <w:numId w:val="0"/>
              </w:numPr>
              <w:overflowPunct w:val="0"/>
              <w:autoSpaceDE w:val="0"/>
              <w:autoSpaceDN w:val="0"/>
              <w:spacing w:before="120" w:after="120"/>
              <w:textAlignment w:val="baseline"/>
            </w:pPr>
          </w:p>
        </w:tc>
        <w:tc>
          <w:tcPr>
            <w:tcW w:w="4140" w:type="dxa"/>
            <w:shd w:val="clear" w:color="auto" w:fill="auto"/>
          </w:tcPr>
          <w:p w14:paraId="0B6FC7D6" w14:textId="77777777" w:rsidR="007409E1" w:rsidRDefault="007409E1">
            <w:pPr>
              <w:pStyle w:val="Table-Text"/>
              <w:numPr>
                <w:ilvl w:val="0"/>
                <w:numId w:val="20"/>
              </w:numPr>
              <w:tabs>
                <w:tab w:val="clear" w:pos="648"/>
              </w:tabs>
              <w:overflowPunct w:val="0"/>
              <w:autoSpaceDE w:val="0"/>
              <w:autoSpaceDN w:val="0"/>
              <w:ind w:hanging="738"/>
              <w:textAlignment w:val="baseline"/>
            </w:pPr>
            <w:r>
              <w:t>[Date on which the Notes become fungible:</w:t>
            </w:r>
          </w:p>
        </w:tc>
        <w:tc>
          <w:tcPr>
            <w:tcW w:w="4277" w:type="dxa"/>
            <w:shd w:val="clear" w:color="auto" w:fill="auto"/>
          </w:tcPr>
          <w:p w14:paraId="5A521E3A" w14:textId="77777777" w:rsidR="007409E1" w:rsidRDefault="007409E1">
            <w:pPr>
              <w:pStyle w:val="Table-Text"/>
              <w:overflowPunct w:val="0"/>
              <w:autoSpaceDE w:val="0"/>
              <w:autoSpaceDN w:val="0"/>
              <w:jc w:val="both"/>
              <w:textAlignment w:val="baseline"/>
            </w:pPr>
            <w:r>
              <w:t>[Not Applicable/The Notes shall be consolidated, form a single series and be interchangeable for trading purposes with the [</w:t>
            </w:r>
            <w:r>
              <w:rPr>
                <w:rFonts w:ascii="Wingdings" w:hAnsi="Wingdings"/>
              </w:rPr>
              <w:t></w:t>
            </w:r>
            <w:r>
              <w:rPr>
                <w:rFonts w:hint="eastAsia"/>
              </w:rPr>
              <w:t>                    </w:t>
            </w:r>
            <w:r>
              <w:t>] on [[</w:t>
            </w:r>
            <w:r>
              <w:rPr>
                <w:rFonts w:ascii="Wingdings" w:hAnsi="Wingdings"/>
              </w:rPr>
              <w:t></w:t>
            </w:r>
            <w:r>
              <w:rPr>
                <w:rFonts w:hint="eastAsia"/>
              </w:rPr>
              <w:t>                    </w:t>
            </w:r>
            <w:r>
              <w:t>]/the Issue Date/exchange of the Temporary Global Note for interests in the Permanent Global Note, as referred to in paragraph [21] below [which is expected to occur on or about [</w:t>
            </w:r>
            <w:r>
              <w:rPr>
                <w:rFonts w:ascii="Wingdings" w:hAnsi="Wingdings"/>
              </w:rPr>
              <w:t></w:t>
            </w:r>
            <w:r>
              <w:rPr>
                <w:rFonts w:hint="eastAsia"/>
              </w:rPr>
              <w:t>                    </w:t>
            </w:r>
            <w:r>
              <w:t>]].]</w:t>
            </w:r>
          </w:p>
        </w:tc>
      </w:tr>
      <w:tr w:rsidR="007409E1" w14:paraId="6000F85A" w14:textId="77777777">
        <w:tc>
          <w:tcPr>
            <w:tcW w:w="828" w:type="dxa"/>
            <w:shd w:val="clear" w:color="auto" w:fill="auto"/>
          </w:tcPr>
          <w:p w14:paraId="1573FA66" w14:textId="77777777" w:rsidR="007409E1" w:rsidRDefault="007409E1">
            <w:pPr>
              <w:pStyle w:val="ScheduleL1"/>
              <w:overflowPunct w:val="0"/>
              <w:autoSpaceDE w:val="0"/>
              <w:autoSpaceDN w:val="0"/>
              <w:spacing w:before="120" w:after="120"/>
              <w:textAlignment w:val="baseline"/>
            </w:pPr>
          </w:p>
        </w:tc>
        <w:tc>
          <w:tcPr>
            <w:tcW w:w="4140" w:type="dxa"/>
            <w:shd w:val="clear" w:color="auto" w:fill="auto"/>
          </w:tcPr>
          <w:p w14:paraId="1D59E29D" w14:textId="77777777" w:rsidR="007409E1" w:rsidRDefault="007409E1">
            <w:pPr>
              <w:pStyle w:val="Table-Text"/>
              <w:tabs>
                <w:tab w:val="left" w:pos="648"/>
              </w:tabs>
              <w:overflowPunct w:val="0"/>
              <w:autoSpaceDE w:val="0"/>
              <w:autoSpaceDN w:val="0"/>
              <w:ind w:left="-18"/>
              <w:textAlignment w:val="baseline"/>
            </w:pPr>
            <w:r>
              <w:t>Specified Currency or Currencies:</w:t>
            </w:r>
          </w:p>
        </w:tc>
        <w:tc>
          <w:tcPr>
            <w:tcW w:w="4277" w:type="dxa"/>
            <w:shd w:val="clear" w:color="auto" w:fill="auto"/>
          </w:tcPr>
          <w:p w14:paraId="1C57666C" w14:textId="77777777" w:rsidR="007409E1" w:rsidRDefault="007409E1">
            <w:pPr>
              <w:pStyle w:val="Table-Text"/>
              <w:overflowPunct w:val="0"/>
              <w:autoSpaceDE w:val="0"/>
              <w:autoSpaceDN w:val="0"/>
              <w:jc w:val="both"/>
              <w:textAlignment w:val="baseline"/>
            </w:pPr>
            <w:r>
              <w:t>[</w:t>
            </w:r>
            <w:r>
              <w:rPr>
                <w:rFonts w:ascii="Wingdings" w:hAnsi="Wingdings"/>
              </w:rPr>
              <w:t></w:t>
            </w:r>
            <w:r>
              <w:rPr>
                <w:rFonts w:hint="eastAsia"/>
              </w:rPr>
              <w:t>                    </w:t>
            </w:r>
            <w:r>
              <w:t>]</w:t>
            </w:r>
          </w:p>
        </w:tc>
      </w:tr>
      <w:tr w:rsidR="007409E1" w14:paraId="07C7DD13" w14:textId="77777777">
        <w:tc>
          <w:tcPr>
            <w:tcW w:w="828" w:type="dxa"/>
            <w:shd w:val="clear" w:color="auto" w:fill="auto"/>
          </w:tcPr>
          <w:p w14:paraId="20447A9A" w14:textId="77777777" w:rsidR="007409E1" w:rsidRDefault="007409E1">
            <w:pPr>
              <w:pStyle w:val="ScheduleL1"/>
              <w:overflowPunct w:val="0"/>
              <w:autoSpaceDE w:val="0"/>
              <w:autoSpaceDN w:val="0"/>
              <w:spacing w:before="120" w:after="120"/>
              <w:textAlignment w:val="baseline"/>
            </w:pPr>
          </w:p>
        </w:tc>
        <w:tc>
          <w:tcPr>
            <w:tcW w:w="4140" w:type="dxa"/>
            <w:shd w:val="clear" w:color="auto" w:fill="auto"/>
          </w:tcPr>
          <w:p w14:paraId="7E201A9E" w14:textId="77777777" w:rsidR="007409E1" w:rsidRDefault="007409E1">
            <w:pPr>
              <w:pStyle w:val="Table-Text"/>
              <w:tabs>
                <w:tab w:val="left" w:pos="648"/>
              </w:tabs>
              <w:overflowPunct w:val="0"/>
              <w:autoSpaceDE w:val="0"/>
              <w:autoSpaceDN w:val="0"/>
              <w:ind w:left="-18"/>
              <w:textAlignment w:val="baseline"/>
            </w:pPr>
            <w:r>
              <w:t>Aggregate Nominal Amount:</w:t>
            </w:r>
          </w:p>
        </w:tc>
        <w:tc>
          <w:tcPr>
            <w:tcW w:w="4277" w:type="dxa"/>
            <w:shd w:val="clear" w:color="auto" w:fill="auto"/>
          </w:tcPr>
          <w:p w14:paraId="30AA13D7" w14:textId="77777777" w:rsidR="007409E1" w:rsidRDefault="007409E1">
            <w:pPr>
              <w:pStyle w:val="Table-Text"/>
              <w:overflowPunct w:val="0"/>
              <w:autoSpaceDE w:val="0"/>
              <w:autoSpaceDN w:val="0"/>
              <w:jc w:val="both"/>
              <w:textAlignment w:val="baseline"/>
            </w:pPr>
            <w:r>
              <w:t>[</w:t>
            </w:r>
            <w:r>
              <w:rPr>
                <w:rFonts w:ascii="Wingdings" w:hAnsi="Wingdings"/>
              </w:rPr>
              <w:t></w:t>
            </w:r>
            <w:r>
              <w:rPr>
                <w:rFonts w:hint="eastAsia"/>
              </w:rPr>
              <w:t>                    </w:t>
            </w:r>
            <w:r>
              <w:t>]</w:t>
            </w:r>
          </w:p>
        </w:tc>
      </w:tr>
      <w:tr w:rsidR="007409E1" w14:paraId="1546F501" w14:textId="77777777">
        <w:tc>
          <w:tcPr>
            <w:tcW w:w="828" w:type="dxa"/>
            <w:shd w:val="clear" w:color="auto" w:fill="auto"/>
          </w:tcPr>
          <w:p w14:paraId="1978DDB3" w14:textId="77777777" w:rsidR="007409E1" w:rsidRDefault="007409E1">
            <w:pPr>
              <w:pStyle w:val="ScheduleL1"/>
              <w:numPr>
                <w:ilvl w:val="0"/>
                <w:numId w:val="0"/>
              </w:numPr>
              <w:overflowPunct w:val="0"/>
              <w:autoSpaceDE w:val="0"/>
              <w:autoSpaceDN w:val="0"/>
              <w:spacing w:before="120" w:after="120"/>
              <w:textAlignment w:val="baseline"/>
            </w:pPr>
          </w:p>
        </w:tc>
        <w:tc>
          <w:tcPr>
            <w:tcW w:w="4140" w:type="dxa"/>
            <w:shd w:val="clear" w:color="auto" w:fill="auto"/>
          </w:tcPr>
          <w:p w14:paraId="4CDDCD8E" w14:textId="77777777" w:rsidR="007409E1" w:rsidRDefault="007409E1">
            <w:pPr>
              <w:pStyle w:val="Table-Text"/>
              <w:numPr>
                <w:ilvl w:val="0"/>
                <w:numId w:val="22"/>
              </w:numPr>
              <w:tabs>
                <w:tab w:val="clear" w:pos="648"/>
                <w:tab w:val="num" w:pos="612"/>
              </w:tabs>
              <w:overflowPunct w:val="0"/>
              <w:autoSpaceDE w:val="0"/>
              <w:autoSpaceDN w:val="0"/>
              <w:ind w:left="612" w:hanging="612"/>
              <w:textAlignment w:val="baseline"/>
            </w:pPr>
            <w:r>
              <w:t>[Series]:</w:t>
            </w:r>
          </w:p>
        </w:tc>
        <w:tc>
          <w:tcPr>
            <w:tcW w:w="4277" w:type="dxa"/>
            <w:shd w:val="clear" w:color="auto" w:fill="auto"/>
          </w:tcPr>
          <w:p w14:paraId="74239CE5" w14:textId="77777777" w:rsidR="007409E1" w:rsidRDefault="007409E1">
            <w:pPr>
              <w:pStyle w:val="Table-Text"/>
              <w:overflowPunct w:val="0"/>
              <w:autoSpaceDE w:val="0"/>
              <w:autoSpaceDN w:val="0"/>
              <w:jc w:val="both"/>
              <w:textAlignment w:val="baseline"/>
            </w:pPr>
            <w:r>
              <w:t>[</w:t>
            </w:r>
            <w:r>
              <w:rPr>
                <w:rFonts w:ascii="Wingdings" w:hAnsi="Wingdings"/>
              </w:rPr>
              <w:t></w:t>
            </w:r>
            <w:r>
              <w:rPr>
                <w:rFonts w:hint="eastAsia"/>
              </w:rPr>
              <w:t>                    </w:t>
            </w:r>
            <w:r>
              <w:t>]</w:t>
            </w:r>
          </w:p>
        </w:tc>
      </w:tr>
      <w:tr w:rsidR="007409E1" w14:paraId="034AE809" w14:textId="77777777">
        <w:tc>
          <w:tcPr>
            <w:tcW w:w="828" w:type="dxa"/>
            <w:shd w:val="clear" w:color="auto" w:fill="auto"/>
          </w:tcPr>
          <w:p w14:paraId="5E31EBEC" w14:textId="77777777" w:rsidR="007409E1" w:rsidRDefault="007409E1">
            <w:pPr>
              <w:pStyle w:val="ScheduleL1"/>
              <w:numPr>
                <w:ilvl w:val="0"/>
                <w:numId w:val="0"/>
              </w:numPr>
              <w:overflowPunct w:val="0"/>
              <w:autoSpaceDE w:val="0"/>
              <w:autoSpaceDN w:val="0"/>
              <w:spacing w:before="120" w:after="120"/>
              <w:textAlignment w:val="baseline"/>
            </w:pPr>
          </w:p>
        </w:tc>
        <w:tc>
          <w:tcPr>
            <w:tcW w:w="4140" w:type="dxa"/>
            <w:shd w:val="clear" w:color="auto" w:fill="auto"/>
          </w:tcPr>
          <w:p w14:paraId="3C349E4B" w14:textId="77777777" w:rsidR="007409E1" w:rsidRDefault="007409E1">
            <w:pPr>
              <w:pStyle w:val="Table-Text"/>
              <w:numPr>
                <w:ilvl w:val="0"/>
                <w:numId w:val="22"/>
              </w:numPr>
              <w:tabs>
                <w:tab w:val="clear" w:pos="648"/>
                <w:tab w:val="num" w:pos="612"/>
              </w:tabs>
              <w:overflowPunct w:val="0"/>
              <w:autoSpaceDE w:val="0"/>
              <w:autoSpaceDN w:val="0"/>
              <w:ind w:left="612" w:hanging="630"/>
              <w:textAlignment w:val="baseline"/>
            </w:pPr>
            <w:r>
              <w:t>[Tranche:</w:t>
            </w:r>
          </w:p>
        </w:tc>
        <w:tc>
          <w:tcPr>
            <w:tcW w:w="4277" w:type="dxa"/>
            <w:shd w:val="clear" w:color="auto" w:fill="auto"/>
          </w:tcPr>
          <w:p w14:paraId="49A969C1" w14:textId="77777777" w:rsidR="007409E1" w:rsidRDefault="007409E1">
            <w:pPr>
              <w:pStyle w:val="Table-Text"/>
              <w:overflowPunct w:val="0"/>
              <w:autoSpaceDE w:val="0"/>
              <w:autoSpaceDN w:val="0"/>
              <w:jc w:val="both"/>
              <w:textAlignment w:val="baseline"/>
            </w:pPr>
            <w:r>
              <w:t>[</w:t>
            </w:r>
            <w:r>
              <w:rPr>
                <w:rFonts w:ascii="Wingdings" w:hAnsi="Wingdings"/>
              </w:rPr>
              <w:t></w:t>
            </w:r>
            <w:r>
              <w:rPr>
                <w:rFonts w:hint="eastAsia"/>
              </w:rPr>
              <w:t>                    </w:t>
            </w:r>
            <w:r>
              <w:t>]]</w:t>
            </w:r>
          </w:p>
        </w:tc>
      </w:tr>
      <w:tr w:rsidR="007409E1" w14:paraId="2E7AD4C1" w14:textId="77777777">
        <w:tc>
          <w:tcPr>
            <w:tcW w:w="828" w:type="dxa"/>
            <w:shd w:val="clear" w:color="auto" w:fill="auto"/>
          </w:tcPr>
          <w:p w14:paraId="6BB4495B" w14:textId="77777777" w:rsidR="007409E1" w:rsidRDefault="007409E1">
            <w:pPr>
              <w:pStyle w:val="ScheduleL1"/>
              <w:overflowPunct w:val="0"/>
              <w:autoSpaceDE w:val="0"/>
              <w:autoSpaceDN w:val="0"/>
              <w:spacing w:before="120" w:after="120"/>
              <w:textAlignment w:val="baseline"/>
            </w:pPr>
          </w:p>
        </w:tc>
        <w:tc>
          <w:tcPr>
            <w:tcW w:w="4140" w:type="dxa"/>
            <w:shd w:val="clear" w:color="auto" w:fill="auto"/>
          </w:tcPr>
          <w:p w14:paraId="7E6F08B7" w14:textId="77777777" w:rsidR="007409E1" w:rsidRDefault="007409E1">
            <w:pPr>
              <w:pStyle w:val="Table-Text"/>
              <w:overflowPunct w:val="0"/>
              <w:autoSpaceDE w:val="0"/>
              <w:autoSpaceDN w:val="0"/>
              <w:ind w:left="-18"/>
              <w:textAlignment w:val="baseline"/>
            </w:pPr>
            <w:r>
              <w:t>Issue Price:</w:t>
            </w:r>
          </w:p>
        </w:tc>
        <w:tc>
          <w:tcPr>
            <w:tcW w:w="4277" w:type="dxa"/>
            <w:shd w:val="clear" w:color="auto" w:fill="auto"/>
          </w:tcPr>
          <w:p w14:paraId="04AE518A" w14:textId="77777777" w:rsidR="007409E1" w:rsidRDefault="007409E1">
            <w:pPr>
              <w:pStyle w:val="Table-Text"/>
              <w:overflowPunct w:val="0"/>
              <w:autoSpaceDE w:val="0"/>
              <w:autoSpaceDN w:val="0"/>
              <w:jc w:val="both"/>
              <w:textAlignment w:val="baseline"/>
            </w:pPr>
            <w:r>
              <w:t>[</w:t>
            </w:r>
            <w:r>
              <w:rPr>
                <w:rFonts w:ascii="Wingdings" w:hAnsi="Wingdings"/>
              </w:rPr>
              <w:t></w:t>
            </w:r>
            <w:r>
              <w:t>] per cent of the Aggregate Nominal Amount [plus accrued interest from [</w:t>
            </w:r>
            <w:r>
              <w:rPr>
                <w:rFonts w:ascii="Wingdings" w:hAnsi="Wingdings"/>
              </w:rPr>
              <w:t></w:t>
            </w:r>
            <w:r>
              <w:rPr>
                <w:rFonts w:hint="eastAsia"/>
              </w:rPr>
              <w:t>                    </w:t>
            </w:r>
            <w:r>
              <w:t>]]</w:t>
            </w:r>
          </w:p>
        </w:tc>
      </w:tr>
      <w:tr w:rsidR="007409E1" w14:paraId="5CBCBC50" w14:textId="77777777">
        <w:tc>
          <w:tcPr>
            <w:tcW w:w="828" w:type="dxa"/>
            <w:shd w:val="clear" w:color="auto" w:fill="auto"/>
          </w:tcPr>
          <w:p w14:paraId="3940BDBD" w14:textId="77777777" w:rsidR="007409E1" w:rsidRDefault="007409E1">
            <w:pPr>
              <w:pStyle w:val="ScheduleL1"/>
              <w:overflowPunct w:val="0"/>
              <w:autoSpaceDE w:val="0"/>
              <w:autoSpaceDN w:val="0"/>
              <w:spacing w:before="120" w:after="120"/>
              <w:textAlignment w:val="baseline"/>
            </w:pPr>
          </w:p>
        </w:tc>
        <w:tc>
          <w:tcPr>
            <w:tcW w:w="4140" w:type="dxa"/>
            <w:shd w:val="clear" w:color="auto" w:fill="auto"/>
          </w:tcPr>
          <w:p w14:paraId="03BBDC66" w14:textId="77777777" w:rsidR="007409E1" w:rsidRDefault="007409E1">
            <w:pPr>
              <w:pStyle w:val="Table-Text"/>
              <w:numPr>
                <w:ilvl w:val="0"/>
                <w:numId w:val="23"/>
              </w:numPr>
              <w:tabs>
                <w:tab w:val="clear" w:pos="648"/>
                <w:tab w:val="num" w:pos="612"/>
              </w:tabs>
              <w:overflowPunct w:val="0"/>
              <w:autoSpaceDE w:val="0"/>
              <w:autoSpaceDN w:val="0"/>
              <w:ind w:left="612" w:hanging="612"/>
              <w:textAlignment w:val="baseline"/>
            </w:pPr>
            <w:r>
              <w:t>Specified Denomination:</w:t>
            </w:r>
          </w:p>
        </w:tc>
        <w:tc>
          <w:tcPr>
            <w:tcW w:w="4277" w:type="dxa"/>
            <w:shd w:val="clear" w:color="auto" w:fill="auto"/>
          </w:tcPr>
          <w:p w14:paraId="5902D546" w14:textId="77777777" w:rsidR="007409E1" w:rsidRDefault="007409E1">
            <w:pPr>
              <w:pStyle w:val="Table-Text"/>
              <w:overflowPunct w:val="0"/>
              <w:autoSpaceDE w:val="0"/>
              <w:autoSpaceDN w:val="0"/>
              <w:jc w:val="both"/>
              <w:textAlignment w:val="baseline"/>
            </w:pPr>
            <w:r>
              <w:t>[</w:t>
            </w:r>
            <w:r>
              <w:rPr>
                <w:rFonts w:ascii="Wingdings" w:hAnsi="Wingdings"/>
              </w:rPr>
              <w:t></w:t>
            </w:r>
            <w:r>
              <w:rPr>
                <w:rFonts w:hint="eastAsia"/>
              </w:rPr>
              <w:t>                    </w:t>
            </w:r>
            <w:r>
              <w:t>]</w:t>
            </w:r>
          </w:p>
        </w:tc>
      </w:tr>
      <w:tr w:rsidR="007409E1" w14:paraId="4D97EFF5" w14:textId="77777777">
        <w:tc>
          <w:tcPr>
            <w:tcW w:w="828" w:type="dxa"/>
            <w:shd w:val="clear" w:color="auto" w:fill="auto"/>
          </w:tcPr>
          <w:p w14:paraId="4F9139C1" w14:textId="77777777" w:rsidR="007409E1" w:rsidRDefault="007409E1">
            <w:pPr>
              <w:pStyle w:val="ScheduleL1"/>
              <w:numPr>
                <w:ilvl w:val="0"/>
                <w:numId w:val="0"/>
              </w:numPr>
              <w:overflowPunct w:val="0"/>
              <w:autoSpaceDE w:val="0"/>
              <w:autoSpaceDN w:val="0"/>
              <w:spacing w:before="120" w:after="120"/>
              <w:textAlignment w:val="baseline"/>
            </w:pPr>
          </w:p>
        </w:tc>
        <w:tc>
          <w:tcPr>
            <w:tcW w:w="4140" w:type="dxa"/>
            <w:shd w:val="clear" w:color="auto" w:fill="auto"/>
          </w:tcPr>
          <w:p w14:paraId="11618226" w14:textId="77777777" w:rsidR="007409E1" w:rsidRDefault="007409E1">
            <w:pPr>
              <w:pStyle w:val="Table-Text"/>
              <w:numPr>
                <w:ilvl w:val="0"/>
                <w:numId w:val="23"/>
              </w:numPr>
              <w:tabs>
                <w:tab w:val="clear" w:pos="648"/>
                <w:tab w:val="num" w:pos="612"/>
              </w:tabs>
              <w:overflowPunct w:val="0"/>
              <w:autoSpaceDE w:val="0"/>
              <w:autoSpaceDN w:val="0"/>
              <w:ind w:left="612" w:hanging="630"/>
              <w:textAlignment w:val="baseline"/>
            </w:pPr>
            <w:r>
              <w:t>Calculation Amount:</w:t>
            </w:r>
          </w:p>
        </w:tc>
        <w:tc>
          <w:tcPr>
            <w:tcW w:w="4277" w:type="dxa"/>
            <w:shd w:val="clear" w:color="auto" w:fill="auto"/>
          </w:tcPr>
          <w:p w14:paraId="64CAA7E5" w14:textId="77777777" w:rsidR="007409E1" w:rsidRDefault="007409E1">
            <w:pPr>
              <w:pStyle w:val="Table-Text"/>
              <w:overflowPunct w:val="0"/>
              <w:autoSpaceDE w:val="0"/>
              <w:autoSpaceDN w:val="0"/>
              <w:jc w:val="both"/>
              <w:textAlignment w:val="baseline"/>
            </w:pPr>
            <w:r>
              <w:t>[</w:t>
            </w:r>
            <w:r>
              <w:rPr>
                <w:rFonts w:ascii="Wingdings" w:hAnsi="Wingdings"/>
              </w:rPr>
              <w:t></w:t>
            </w:r>
            <w:r>
              <w:rPr>
                <w:rFonts w:hint="eastAsia"/>
              </w:rPr>
              <w:t>                    </w:t>
            </w:r>
            <w:r>
              <w:t>]</w:t>
            </w:r>
          </w:p>
        </w:tc>
      </w:tr>
      <w:tr w:rsidR="007409E1" w14:paraId="0ACA58E8" w14:textId="77777777">
        <w:tc>
          <w:tcPr>
            <w:tcW w:w="828" w:type="dxa"/>
            <w:shd w:val="clear" w:color="auto" w:fill="auto"/>
          </w:tcPr>
          <w:p w14:paraId="58DD55D5" w14:textId="77777777" w:rsidR="007409E1" w:rsidRDefault="007409E1">
            <w:pPr>
              <w:pStyle w:val="ScheduleL1"/>
              <w:overflowPunct w:val="0"/>
              <w:autoSpaceDE w:val="0"/>
              <w:autoSpaceDN w:val="0"/>
              <w:spacing w:before="120" w:after="120"/>
              <w:textAlignment w:val="baseline"/>
            </w:pPr>
          </w:p>
        </w:tc>
        <w:tc>
          <w:tcPr>
            <w:tcW w:w="4140" w:type="dxa"/>
            <w:shd w:val="clear" w:color="auto" w:fill="auto"/>
          </w:tcPr>
          <w:p w14:paraId="3E329F53" w14:textId="77777777" w:rsidR="007409E1" w:rsidRDefault="007409E1">
            <w:pPr>
              <w:pStyle w:val="Table-Text"/>
              <w:numPr>
                <w:ilvl w:val="0"/>
                <w:numId w:val="24"/>
              </w:numPr>
              <w:tabs>
                <w:tab w:val="clear" w:pos="648"/>
                <w:tab w:val="left" w:pos="612"/>
              </w:tabs>
              <w:overflowPunct w:val="0"/>
              <w:autoSpaceDE w:val="0"/>
              <w:autoSpaceDN w:val="0"/>
              <w:ind w:left="612" w:hanging="612"/>
              <w:textAlignment w:val="baseline"/>
            </w:pPr>
            <w:r>
              <w:t>Issue Date:</w:t>
            </w:r>
          </w:p>
        </w:tc>
        <w:tc>
          <w:tcPr>
            <w:tcW w:w="4277" w:type="dxa"/>
            <w:shd w:val="clear" w:color="auto" w:fill="auto"/>
          </w:tcPr>
          <w:p w14:paraId="37170FEA" w14:textId="77777777" w:rsidR="007409E1" w:rsidRDefault="007409E1">
            <w:pPr>
              <w:pStyle w:val="Table-Text"/>
              <w:overflowPunct w:val="0"/>
              <w:autoSpaceDE w:val="0"/>
              <w:autoSpaceDN w:val="0"/>
              <w:jc w:val="both"/>
              <w:textAlignment w:val="baseline"/>
            </w:pPr>
            <w:r>
              <w:t>[</w:t>
            </w:r>
            <w:r>
              <w:rPr>
                <w:rFonts w:ascii="Wingdings" w:hAnsi="Wingdings"/>
              </w:rPr>
              <w:t></w:t>
            </w:r>
            <w:r>
              <w:rPr>
                <w:rFonts w:hint="eastAsia"/>
              </w:rPr>
              <w:t>                    </w:t>
            </w:r>
            <w:r>
              <w:t>]</w:t>
            </w:r>
          </w:p>
        </w:tc>
      </w:tr>
      <w:tr w:rsidR="007409E1" w14:paraId="2575B582" w14:textId="77777777">
        <w:tc>
          <w:tcPr>
            <w:tcW w:w="828" w:type="dxa"/>
            <w:shd w:val="clear" w:color="auto" w:fill="auto"/>
          </w:tcPr>
          <w:p w14:paraId="0FC1680B" w14:textId="77777777" w:rsidR="007409E1" w:rsidRDefault="007409E1">
            <w:pPr>
              <w:pStyle w:val="ScheduleL1"/>
              <w:numPr>
                <w:ilvl w:val="0"/>
                <w:numId w:val="0"/>
              </w:numPr>
              <w:overflowPunct w:val="0"/>
              <w:autoSpaceDE w:val="0"/>
              <w:autoSpaceDN w:val="0"/>
              <w:spacing w:before="120" w:after="120"/>
              <w:textAlignment w:val="baseline"/>
            </w:pPr>
          </w:p>
        </w:tc>
        <w:tc>
          <w:tcPr>
            <w:tcW w:w="4140" w:type="dxa"/>
            <w:shd w:val="clear" w:color="auto" w:fill="auto"/>
          </w:tcPr>
          <w:p w14:paraId="09C12479" w14:textId="77777777" w:rsidR="007409E1" w:rsidRDefault="007409E1">
            <w:pPr>
              <w:pStyle w:val="Table-Text"/>
              <w:numPr>
                <w:ilvl w:val="0"/>
                <w:numId w:val="24"/>
              </w:numPr>
              <w:tabs>
                <w:tab w:val="clear" w:pos="648"/>
                <w:tab w:val="num" w:pos="612"/>
              </w:tabs>
              <w:overflowPunct w:val="0"/>
              <w:autoSpaceDE w:val="0"/>
              <w:autoSpaceDN w:val="0"/>
              <w:ind w:left="612" w:hanging="630"/>
              <w:textAlignment w:val="baseline"/>
            </w:pPr>
            <w:r>
              <w:t>Interest Commencement Date:</w:t>
            </w:r>
          </w:p>
        </w:tc>
        <w:tc>
          <w:tcPr>
            <w:tcW w:w="4277" w:type="dxa"/>
            <w:shd w:val="clear" w:color="auto" w:fill="auto"/>
          </w:tcPr>
          <w:p w14:paraId="51A0EB75" w14:textId="77777777" w:rsidR="007409E1" w:rsidRDefault="007409E1">
            <w:pPr>
              <w:pStyle w:val="Table-Text"/>
              <w:overflowPunct w:val="0"/>
              <w:autoSpaceDE w:val="0"/>
              <w:autoSpaceDN w:val="0"/>
              <w:jc w:val="both"/>
              <w:textAlignment w:val="baseline"/>
            </w:pPr>
            <w:r>
              <w:t>[[</w:t>
            </w:r>
            <w:r>
              <w:rPr>
                <w:rFonts w:ascii="Wingdings" w:hAnsi="Wingdings"/>
              </w:rPr>
              <w:t></w:t>
            </w:r>
            <w:r>
              <w:rPr>
                <w:rFonts w:hint="eastAsia"/>
              </w:rPr>
              <w:t>                    </w:t>
            </w:r>
            <w:r>
              <w:t>]/Issue Date]</w:t>
            </w:r>
          </w:p>
        </w:tc>
      </w:tr>
      <w:tr w:rsidR="007409E1" w14:paraId="15FCA33E" w14:textId="77777777">
        <w:tc>
          <w:tcPr>
            <w:tcW w:w="828" w:type="dxa"/>
            <w:shd w:val="clear" w:color="auto" w:fill="auto"/>
          </w:tcPr>
          <w:p w14:paraId="2FC0F313" w14:textId="77777777" w:rsidR="007409E1" w:rsidRDefault="007409E1">
            <w:pPr>
              <w:pStyle w:val="ScheduleL1"/>
              <w:overflowPunct w:val="0"/>
              <w:autoSpaceDE w:val="0"/>
              <w:autoSpaceDN w:val="0"/>
              <w:spacing w:before="120" w:after="120"/>
              <w:textAlignment w:val="baseline"/>
            </w:pPr>
          </w:p>
        </w:tc>
        <w:tc>
          <w:tcPr>
            <w:tcW w:w="4140" w:type="dxa"/>
            <w:shd w:val="clear" w:color="auto" w:fill="auto"/>
          </w:tcPr>
          <w:p w14:paraId="1839F83F" w14:textId="77777777" w:rsidR="007409E1" w:rsidRDefault="007409E1">
            <w:pPr>
              <w:pStyle w:val="Table-Text"/>
              <w:overflowPunct w:val="0"/>
              <w:autoSpaceDE w:val="0"/>
              <w:autoSpaceDN w:val="0"/>
              <w:ind w:left="-18"/>
              <w:textAlignment w:val="baseline"/>
            </w:pPr>
            <w:r>
              <w:t>Maturity Date:</w:t>
            </w:r>
          </w:p>
        </w:tc>
        <w:tc>
          <w:tcPr>
            <w:tcW w:w="4277" w:type="dxa"/>
            <w:shd w:val="clear" w:color="auto" w:fill="auto"/>
          </w:tcPr>
          <w:p w14:paraId="02F54249" w14:textId="77777777" w:rsidR="007409E1" w:rsidRDefault="007409E1">
            <w:pPr>
              <w:pStyle w:val="Table-Text"/>
              <w:overflowPunct w:val="0"/>
              <w:autoSpaceDE w:val="0"/>
              <w:autoSpaceDN w:val="0"/>
              <w:jc w:val="both"/>
              <w:textAlignment w:val="baseline"/>
            </w:pPr>
            <w:r>
              <w:t>[</w:t>
            </w:r>
            <w:r>
              <w:rPr>
                <w:rFonts w:ascii="Wingdings" w:hAnsi="Wingdings"/>
              </w:rPr>
              <w:t></w:t>
            </w:r>
            <w:r>
              <w:rPr>
                <w:rFonts w:hint="eastAsia"/>
              </w:rPr>
              <w:t>                    </w:t>
            </w:r>
            <w:r>
              <w:t>]</w:t>
            </w:r>
          </w:p>
        </w:tc>
      </w:tr>
      <w:tr w:rsidR="007409E1" w14:paraId="6CEEC524" w14:textId="77777777">
        <w:tc>
          <w:tcPr>
            <w:tcW w:w="828" w:type="dxa"/>
            <w:shd w:val="clear" w:color="auto" w:fill="auto"/>
          </w:tcPr>
          <w:p w14:paraId="180F4843" w14:textId="77777777" w:rsidR="007409E1" w:rsidRDefault="007409E1">
            <w:pPr>
              <w:pStyle w:val="ScheduleL1"/>
              <w:overflowPunct w:val="0"/>
              <w:autoSpaceDE w:val="0"/>
              <w:autoSpaceDN w:val="0"/>
              <w:spacing w:before="120" w:after="120"/>
              <w:textAlignment w:val="baseline"/>
            </w:pPr>
          </w:p>
        </w:tc>
        <w:tc>
          <w:tcPr>
            <w:tcW w:w="4140" w:type="dxa"/>
            <w:shd w:val="clear" w:color="auto" w:fill="auto"/>
          </w:tcPr>
          <w:p w14:paraId="1D53E871" w14:textId="77777777" w:rsidR="007409E1" w:rsidRDefault="007409E1">
            <w:pPr>
              <w:pStyle w:val="Table-Text"/>
              <w:overflowPunct w:val="0"/>
              <w:autoSpaceDE w:val="0"/>
              <w:autoSpaceDN w:val="0"/>
              <w:textAlignment w:val="baseline"/>
            </w:pPr>
            <w:r>
              <w:t>Interest Basis:</w:t>
            </w:r>
          </w:p>
        </w:tc>
        <w:tc>
          <w:tcPr>
            <w:tcW w:w="4277" w:type="dxa"/>
            <w:shd w:val="clear" w:color="auto" w:fill="auto"/>
          </w:tcPr>
          <w:p w14:paraId="3708F012" w14:textId="77777777" w:rsidR="007409E1" w:rsidRDefault="007409E1">
            <w:pPr>
              <w:pStyle w:val="Table-Text"/>
              <w:overflowPunct w:val="0"/>
              <w:autoSpaceDE w:val="0"/>
              <w:autoSpaceDN w:val="0"/>
              <w:jc w:val="both"/>
              <w:textAlignment w:val="baseline"/>
            </w:pPr>
            <w:r>
              <w:t>[[</w:t>
            </w:r>
            <w:r>
              <w:rPr>
                <w:rFonts w:ascii="Wingdings" w:hAnsi="Wingdings"/>
              </w:rPr>
              <w:t></w:t>
            </w:r>
            <w:r>
              <w:t>] per cent Fixed Rate]</w:t>
            </w:r>
          </w:p>
        </w:tc>
      </w:tr>
      <w:tr w:rsidR="007409E1" w14:paraId="676FF91A" w14:textId="77777777">
        <w:tc>
          <w:tcPr>
            <w:tcW w:w="828" w:type="dxa"/>
            <w:shd w:val="clear" w:color="auto" w:fill="auto"/>
          </w:tcPr>
          <w:p w14:paraId="1F0DF7C8" w14:textId="77777777" w:rsidR="007409E1" w:rsidRDefault="007409E1">
            <w:pPr>
              <w:pStyle w:val="ScheduleL1"/>
              <w:numPr>
                <w:ilvl w:val="0"/>
                <w:numId w:val="0"/>
              </w:numPr>
              <w:overflowPunct w:val="0"/>
              <w:autoSpaceDE w:val="0"/>
              <w:autoSpaceDN w:val="0"/>
              <w:spacing w:before="120" w:after="120"/>
              <w:textAlignment w:val="baseline"/>
            </w:pPr>
          </w:p>
        </w:tc>
        <w:tc>
          <w:tcPr>
            <w:tcW w:w="4140" w:type="dxa"/>
            <w:shd w:val="clear" w:color="auto" w:fill="auto"/>
          </w:tcPr>
          <w:p w14:paraId="75E77750" w14:textId="77777777" w:rsidR="007409E1" w:rsidRDefault="007409E1">
            <w:pPr>
              <w:pStyle w:val="Table-Text"/>
              <w:overflowPunct w:val="0"/>
              <w:autoSpaceDE w:val="0"/>
              <w:autoSpaceDN w:val="0"/>
              <w:textAlignment w:val="baseline"/>
            </w:pPr>
          </w:p>
        </w:tc>
        <w:tc>
          <w:tcPr>
            <w:tcW w:w="4277" w:type="dxa"/>
            <w:shd w:val="clear" w:color="auto" w:fill="auto"/>
          </w:tcPr>
          <w:p w14:paraId="4BD93917" w14:textId="77777777" w:rsidR="007409E1" w:rsidRDefault="007409E1">
            <w:pPr>
              <w:pStyle w:val="Table-Text"/>
              <w:overflowPunct w:val="0"/>
              <w:autoSpaceDE w:val="0"/>
              <w:autoSpaceDN w:val="0"/>
              <w:jc w:val="both"/>
              <w:textAlignment w:val="baseline"/>
            </w:pPr>
            <w:r>
              <w:t>[</w:t>
            </w:r>
            <w:r>
              <w:rPr>
                <w:rFonts w:ascii="Wingdings" w:hAnsi="Wingdings"/>
              </w:rPr>
              <w:t></w:t>
            </w:r>
            <w:r>
              <w:rPr>
                <w:rFonts w:hint="eastAsia"/>
              </w:rPr>
              <w:t>                    </w:t>
            </w:r>
            <w:r>
              <w:t>][</w:t>
            </w:r>
            <w:r>
              <w:rPr>
                <w:rFonts w:ascii="Wingdings" w:hAnsi="Wingdings"/>
              </w:rPr>
              <w:t></w:t>
            </w:r>
            <w:r>
              <w:rPr>
                <w:rFonts w:hint="eastAsia"/>
              </w:rPr>
              <w:t>                    </w:t>
            </w:r>
            <w:r>
              <w:t>] [EURIBOR</w:t>
            </w:r>
            <w:r w:rsidR="00DB3CBA">
              <w:t>]</w:t>
            </w:r>
            <w:r>
              <w:t>+/— [</w:t>
            </w:r>
            <w:r>
              <w:rPr>
                <w:rFonts w:ascii="Wingdings" w:hAnsi="Wingdings"/>
              </w:rPr>
              <w:t></w:t>
            </w:r>
            <w:r>
              <w:t>] per cent Floating Rate]</w:t>
            </w:r>
          </w:p>
        </w:tc>
      </w:tr>
      <w:tr w:rsidR="007409E1" w14:paraId="46A58AAB" w14:textId="77777777">
        <w:tc>
          <w:tcPr>
            <w:tcW w:w="828" w:type="dxa"/>
            <w:shd w:val="clear" w:color="auto" w:fill="auto"/>
          </w:tcPr>
          <w:p w14:paraId="4DB43ACD" w14:textId="77777777" w:rsidR="007409E1" w:rsidRDefault="007409E1">
            <w:pPr>
              <w:pStyle w:val="ScheduleL1"/>
              <w:numPr>
                <w:ilvl w:val="0"/>
                <w:numId w:val="0"/>
              </w:numPr>
              <w:overflowPunct w:val="0"/>
              <w:autoSpaceDE w:val="0"/>
              <w:autoSpaceDN w:val="0"/>
              <w:spacing w:before="120" w:after="120"/>
              <w:textAlignment w:val="baseline"/>
            </w:pPr>
          </w:p>
        </w:tc>
        <w:tc>
          <w:tcPr>
            <w:tcW w:w="4140" w:type="dxa"/>
            <w:shd w:val="clear" w:color="auto" w:fill="auto"/>
          </w:tcPr>
          <w:p w14:paraId="1640BAF1" w14:textId="77777777" w:rsidR="007409E1" w:rsidRDefault="007409E1">
            <w:pPr>
              <w:pStyle w:val="Table-Text"/>
              <w:overflowPunct w:val="0"/>
              <w:autoSpaceDE w:val="0"/>
              <w:autoSpaceDN w:val="0"/>
              <w:textAlignment w:val="baseline"/>
            </w:pPr>
          </w:p>
        </w:tc>
        <w:tc>
          <w:tcPr>
            <w:tcW w:w="4277" w:type="dxa"/>
            <w:shd w:val="clear" w:color="auto" w:fill="auto"/>
          </w:tcPr>
          <w:p w14:paraId="4C507BAD" w14:textId="77777777" w:rsidR="007409E1" w:rsidRDefault="007409E1">
            <w:pPr>
              <w:pStyle w:val="Table-Text"/>
              <w:overflowPunct w:val="0"/>
              <w:autoSpaceDE w:val="0"/>
              <w:autoSpaceDN w:val="0"/>
              <w:jc w:val="both"/>
              <w:textAlignment w:val="baseline"/>
            </w:pPr>
            <w:r>
              <w:t>(further particulars specified in paragraph [14/15] below)</w:t>
            </w:r>
          </w:p>
        </w:tc>
      </w:tr>
      <w:tr w:rsidR="007409E1" w14:paraId="2DAEC2B5" w14:textId="77777777">
        <w:tc>
          <w:tcPr>
            <w:tcW w:w="828" w:type="dxa"/>
            <w:shd w:val="clear" w:color="auto" w:fill="auto"/>
          </w:tcPr>
          <w:p w14:paraId="57C58E66" w14:textId="77777777" w:rsidR="007409E1" w:rsidRDefault="007409E1">
            <w:pPr>
              <w:pStyle w:val="ScheduleL1"/>
              <w:overflowPunct w:val="0"/>
              <w:autoSpaceDE w:val="0"/>
              <w:autoSpaceDN w:val="0"/>
              <w:spacing w:before="120" w:after="120"/>
              <w:textAlignment w:val="baseline"/>
            </w:pPr>
          </w:p>
        </w:tc>
        <w:tc>
          <w:tcPr>
            <w:tcW w:w="4140" w:type="dxa"/>
            <w:shd w:val="clear" w:color="auto" w:fill="auto"/>
          </w:tcPr>
          <w:p w14:paraId="50F4B572" w14:textId="77777777" w:rsidR="007409E1" w:rsidRDefault="007409E1">
            <w:pPr>
              <w:pStyle w:val="Table-Text"/>
              <w:overflowPunct w:val="0"/>
              <w:autoSpaceDE w:val="0"/>
              <w:autoSpaceDN w:val="0"/>
              <w:ind w:left="-18"/>
              <w:textAlignment w:val="baseline"/>
            </w:pPr>
            <w:r>
              <w:t>Redemption/Payment Basis:</w:t>
            </w:r>
          </w:p>
        </w:tc>
        <w:tc>
          <w:tcPr>
            <w:tcW w:w="4277" w:type="dxa"/>
            <w:shd w:val="clear" w:color="auto" w:fill="auto"/>
          </w:tcPr>
          <w:p w14:paraId="56E1C0D0" w14:textId="77777777" w:rsidR="007409E1" w:rsidRDefault="007409E1">
            <w:pPr>
              <w:pStyle w:val="Table-Text"/>
              <w:overflowPunct w:val="0"/>
              <w:autoSpaceDE w:val="0"/>
              <w:autoSpaceDN w:val="0"/>
              <w:jc w:val="both"/>
              <w:textAlignment w:val="baseline"/>
            </w:pPr>
            <w:r>
              <w:t>Subject to any purchase and cancellation or early redemption, the Notes will be redeemed on the Maturity Date at [100] per cent of their nominal amount.</w:t>
            </w:r>
          </w:p>
        </w:tc>
      </w:tr>
      <w:tr w:rsidR="007409E1" w14:paraId="57319F81" w14:textId="77777777">
        <w:tc>
          <w:tcPr>
            <w:tcW w:w="828" w:type="dxa"/>
            <w:shd w:val="clear" w:color="auto" w:fill="auto"/>
          </w:tcPr>
          <w:p w14:paraId="247056BF" w14:textId="77777777" w:rsidR="007409E1" w:rsidRDefault="007409E1">
            <w:pPr>
              <w:pStyle w:val="ScheduleL1"/>
              <w:overflowPunct w:val="0"/>
              <w:autoSpaceDE w:val="0"/>
              <w:autoSpaceDN w:val="0"/>
              <w:spacing w:before="120" w:after="120"/>
              <w:textAlignment w:val="baseline"/>
            </w:pPr>
          </w:p>
        </w:tc>
        <w:tc>
          <w:tcPr>
            <w:tcW w:w="4140" w:type="dxa"/>
            <w:shd w:val="clear" w:color="auto" w:fill="auto"/>
          </w:tcPr>
          <w:p w14:paraId="04BCB1AF" w14:textId="77777777" w:rsidR="007409E1" w:rsidRDefault="007409E1">
            <w:pPr>
              <w:pStyle w:val="Table-Text"/>
              <w:overflowPunct w:val="0"/>
              <w:autoSpaceDE w:val="0"/>
              <w:autoSpaceDN w:val="0"/>
              <w:textAlignment w:val="baseline"/>
            </w:pPr>
            <w:r>
              <w:t>Change of Interest or Redemption/Payment Basis:</w:t>
            </w:r>
          </w:p>
        </w:tc>
        <w:tc>
          <w:tcPr>
            <w:tcW w:w="4277" w:type="dxa"/>
            <w:shd w:val="clear" w:color="auto" w:fill="auto"/>
          </w:tcPr>
          <w:p w14:paraId="55F94750" w14:textId="77777777" w:rsidR="007409E1" w:rsidRDefault="007409E1">
            <w:pPr>
              <w:pStyle w:val="Table-Text"/>
              <w:overflowPunct w:val="0"/>
              <w:autoSpaceDE w:val="0"/>
              <w:autoSpaceDN w:val="0"/>
              <w:jc w:val="both"/>
              <w:textAlignment w:val="baseline"/>
            </w:pPr>
            <w:r>
              <w:t>[Applicable/Not Applicable]</w:t>
            </w:r>
          </w:p>
        </w:tc>
      </w:tr>
      <w:tr w:rsidR="007409E1" w14:paraId="4C42817B" w14:textId="77777777">
        <w:tc>
          <w:tcPr>
            <w:tcW w:w="828" w:type="dxa"/>
            <w:shd w:val="clear" w:color="auto" w:fill="auto"/>
          </w:tcPr>
          <w:p w14:paraId="25C0F0BB" w14:textId="77777777" w:rsidR="007409E1" w:rsidRDefault="007409E1">
            <w:pPr>
              <w:pStyle w:val="ScheduleL1"/>
              <w:overflowPunct w:val="0"/>
              <w:autoSpaceDE w:val="0"/>
              <w:autoSpaceDN w:val="0"/>
              <w:spacing w:before="120" w:after="120"/>
              <w:textAlignment w:val="baseline"/>
            </w:pPr>
          </w:p>
        </w:tc>
        <w:tc>
          <w:tcPr>
            <w:tcW w:w="4140" w:type="dxa"/>
            <w:shd w:val="clear" w:color="auto" w:fill="auto"/>
          </w:tcPr>
          <w:p w14:paraId="75DFF9BE" w14:textId="77777777" w:rsidR="007409E1" w:rsidRDefault="007409E1">
            <w:pPr>
              <w:pStyle w:val="Table-Text"/>
              <w:overflowPunct w:val="0"/>
              <w:autoSpaceDE w:val="0"/>
              <w:autoSpaceDN w:val="0"/>
              <w:textAlignment w:val="baseline"/>
            </w:pPr>
            <w:r>
              <w:t>Put/Call Options:</w:t>
            </w:r>
          </w:p>
        </w:tc>
        <w:tc>
          <w:tcPr>
            <w:tcW w:w="4277" w:type="dxa"/>
            <w:shd w:val="clear" w:color="auto" w:fill="auto"/>
          </w:tcPr>
          <w:p w14:paraId="2C7CD6A0" w14:textId="77777777" w:rsidR="007409E1" w:rsidRDefault="007409E1">
            <w:pPr>
              <w:pStyle w:val="Table-Text"/>
              <w:overflowPunct w:val="0"/>
              <w:autoSpaceDE w:val="0"/>
              <w:autoSpaceDN w:val="0"/>
              <w:jc w:val="both"/>
              <w:textAlignment w:val="baseline"/>
            </w:pPr>
            <w:r>
              <w:t>[Investor Put]</w:t>
            </w:r>
          </w:p>
        </w:tc>
      </w:tr>
      <w:tr w:rsidR="007409E1" w14:paraId="5B8EC52B" w14:textId="77777777">
        <w:tc>
          <w:tcPr>
            <w:tcW w:w="828" w:type="dxa"/>
            <w:shd w:val="clear" w:color="auto" w:fill="auto"/>
          </w:tcPr>
          <w:p w14:paraId="2E6E1EDB" w14:textId="77777777" w:rsidR="007409E1" w:rsidRDefault="007409E1">
            <w:pPr>
              <w:pStyle w:val="ScheduleL1"/>
              <w:numPr>
                <w:ilvl w:val="0"/>
                <w:numId w:val="0"/>
              </w:numPr>
              <w:overflowPunct w:val="0"/>
              <w:autoSpaceDE w:val="0"/>
              <w:autoSpaceDN w:val="0"/>
              <w:spacing w:before="120" w:after="120"/>
              <w:textAlignment w:val="baseline"/>
            </w:pPr>
          </w:p>
        </w:tc>
        <w:tc>
          <w:tcPr>
            <w:tcW w:w="4140" w:type="dxa"/>
            <w:shd w:val="clear" w:color="auto" w:fill="auto"/>
          </w:tcPr>
          <w:p w14:paraId="51A282DC" w14:textId="77777777" w:rsidR="007409E1" w:rsidRDefault="007409E1">
            <w:pPr>
              <w:pStyle w:val="Table-Text"/>
              <w:overflowPunct w:val="0"/>
              <w:autoSpaceDE w:val="0"/>
              <w:autoSpaceDN w:val="0"/>
              <w:ind w:left="-18"/>
              <w:textAlignment w:val="baseline"/>
            </w:pPr>
          </w:p>
        </w:tc>
        <w:tc>
          <w:tcPr>
            <w:tcW w:w="4277" w:type="dxa"/>
            <w:shd w:val="clear" w:color="auto" w:fill="auto"/>
          </w:tcPr>
          <w:p w14:paraId="628320D0" w14:textId="77777777" w:rsidR="007409E1" w:rsidRDefault="007409E1">
            <w:pPr>
              <w:pStyle w:val="Table-Text"/>
              <w:overflowPunct w:val="0"/>
              <w:autoSpaceDE w:val="0"/>
              <w:autoSpaceDN w:val="0"/>
              <w:jc w:val="both"/>
              <w:textAlignment w:val="baseline"/>
            </w:pPr>
            <w:r>
              <w:t>[Issuer Call]</w:t>
            </w:r>
          </w:p>
        </w:tc>
      </w:tr>
      <w:tr w:rsidR="007409E1" w14:paraId="471A7D3E" w14:textId="77777777">
        <w:tc>
          <w:tcPr>
            <w:tcW w:w="828" w:type="dxa"/>
            <w:shd w:val="clear" w:color="auto" w:fill="auto"/>
          </w:tcPr>
          <w:p w14:paraId="0F2EFB42" w14:textId="77777777" w:rsidR="007409E1" w:rsidRDefault="007409E1">
            <w:pPr>
              <w:pStyle w:val="ScheduleL1"/>
              <w:numPr>
                <w:ilvl w:val="0"/>
                <w:numId w:val="0"/>
              </w:numPr>
              <w:overflowPunct w:val="0"/>
              <w:autoSpaceDE w:val="0"/>
              <w:autoSpaceDN w:val="0"/>
              <w:spacing w:before="120" w:after="120"/>
              <w:textAlignment w:val="baseline"/>
            </w:pPr>
          </w:p>
        </w:tc>
        <w:tc>
          <w:tcPr>
            <w:tcW w:w="4140" w:type="dxa"/>
            <w:shd w:val="clear" w:color="auto" w:fill="auto"/>
          </w:tcPr>
          <w:p w14:paraId="1869D764" w14:textId="77777777" w:rsidR="007409E1" w:rsidRDefault="007409E1">
            <w:pPr>
              <w:pStyle w:val="Table-Text"/>
              <w:overflowPunct w:val="0"/>
              <w:autoSpaceDE w:val="0"/>
              <w:autoSpaceDN w:val="0"/>
              <w:ind w:left="-18"/>
              <w:textAlignment w:val="baseline"/>
            </w:pPr>
          </w:p>
        </w:tc>
        <w:tc>
          <w:tcPr>
            <w:tcW w:w="4277" w:type="dxa"/>
            <w:shd w:val="clear" w:color="auto" w:fill="auto"/>
          </w:tcPr>
          <w:p w14:paraId="2F78C496" w14:textId="77777777" w:rsidR="007409E1" w:rsidRDefault="007409E1">
            <w:pPr>
              <w:pStyle w:val="Table-Text"/>
              <w:overflowPunct w:val="0"/>
              <w:autoSpaceDE w:val="0"/>
              <w:autoSpaceDN w:val="0"/>
              <w:jc w:val="both"/>
              <w:textAlignment w:val="baseline"/>
            </w:pPr>
            <w:r>
              <w:t>[(further particulars specified in paragraph [16/17] below)]</w:t>
            </w:r>
          </w:p>
        </w:tc>
      </w:tr>
      <w:tr w:rsidR="007409E1" w14:paraId="31FB4C7B" w14:textId="77777777">
        <w:tc>
          <w:tcPr>
            <w:tcW w:w="828" w:type="dxa"/>
            <w:shd w:val="clear" w:color="auto" w:fill="auto"/>
          </w:tcPr>
          <w:p w14:paraId="5E4389B0" w14:textId="77777777" w:rsidR="007409E1" w:rsidRDefault="007409E1">
            <w:pPr>
              <w:pStyle w:val="ScheduleL1"/>
              <w:overflowPunct w:val="0"/>
              <w:autoSpaceDE w:val="0"/>
              <w:autoSpaceDN w:val="0"/>
              <w:spacing w:before="120" w:after="120"/>
              <w:textAlignment w:val="baseline"/>
            </w:pPr>
          </w:p>
        </w:tc>
        <w:tc>
          <w:tcPr>
            <w:tcW w:w="4140" w:type="dxa"/>
            <w:shd w:val="clear" w:color="auto" w:fill="auto"/>
          </w:tcPr>
          <w:p w14:paraId="600620CB" w14:textId="77777777" w:rsidR="007409E1" w:rsidRDefault="007409E1">
            <w:pPr>
              <w:pStyle w:val="Table-Text"/>
              <w:numPr>
                <w:ilvl w:val="0"/>
                <w:numId w:val="25"/>
              </w:numPr>
              <w:tabs>
                <w:tab w:val="clear" w:pos="648"/>
                <w:tab w:val="num" w:pos="612"/>
              </w:tabs>
              <w:overflowPunct w:val="0"/>
              <w:autoSpaceDE w:val="0"/>
              <w:autoSpaceDN w:val="0"/>
              <w:ind w:left="612" w:hanging="612"/>
              <w:textAlignment w:val="baseline"/>
            </w:pPr>
            <w:r>
              <w:t>Status of the Notes:</w:t>
            </w:r>
          </w:p>
        </w:tc>
        <w:tc>
          <w:tcPr>
            <w:tcW w:w="4277" w:type="dxa"/>
            <w:shd w:val="clear" w:color="auto" w:fill="auto"/>
          </w:tcPr>
          <w:p w14:paraId="6624EF40" w14:textId="77777777" w:rsidR="007409E1" w:rsidRDefault="007409E1">
            <w:pPr>
              <w:pStyle w:val="Table-Text"/>
              <w:overflowPunct w:val="0"/>
              <w:autoSpaceDE w:val="0"/>
              <w:autoSpaceDN w:val="0"/>
              <w:jc w:val="both"/>
              <w:textAlignment w:val="baseline"/>
            </w:pPr>
            <w:r>
              <w:t>Senior</w:t>
            </w:r>
          </w:p>
        </w:tc>
      </w:tr>
      <w:tr w:rsidR="007409E1" w14:paraId="239A5FCE" w14:textId="77777777">
        <w:tc>
          <w:tcPr>
            <w:tcW w:w="828" w:type="dxa"/>
            <w:shd w:val="clear" w:color="auto" w:fill="auto"/>
          </w:tcPr>
          <w:p w14:paraId="10B1E98C" w14:textId="77777777" w:rsidR="007409E1" w:rsidRDefault="007409E1">
            <w:pPr>
              <w:pStyle w:val="ScheduleL1"/>
              <w:numPr>
                <w:ilvl w:val="0"/>
                <w:numId w:val="0"/>
              </w:numPr>
              <w:overflowPunct w:val="0"/>
              <w:autoSpaceDE w:val="0"/>
              <w:autoSpaceDN w:val="0"/>
              <w:spacing w:before="120" w:after="120"/>
              <w:textAlignment w:val="baseline"/>
            </w:pPr>
          </w:p>
        </w:tc>
        <w:tc>
          <w:tcPr>
            <w:tcW w:w="4140" w:type="dxa"/>
            <w:shd w:val="clear" w:color="auto" w:fill="auto"/>
          </w:tcPr>
          <w:p w14:paraId="145951B1" w14:textId="77777777" w:rsidR="007409E1" w:rsidRDefault="007409E1">
            <w:pPr>
              <w:pStyle w:val="Table-Text"/>
              <w:numPr>
                <w:ilvl w:val="0"/>
                <w:numId w:val="25"/>
              </w:numPr>
              <w:tabs>
                <w:tab w:val="clear" w:pos="648"/>
              </w:tabs>
              <w:overflowPunct w:val="0"/>
              <w:autoSpaceDE w:val="0"/>
              <w:autoSpaceDN w:val="0"/>
              <w:ind w:hanging="720"/>
              <w:textAlignment w:val="baseline"/>
            </w:pPr>
            <w:r>
              <w:t>[Date [Board] approval for issuance of Notes obtained:</w:t>
            </w:r>
          </w:p>
        </w:tc>
        <w:tc>
          <w:tcPr>
            <w:tcW w:w="4277" w:type="dxa"/>
            <w:shd w:val="clear" w:color="auto" w:fill="auto"/>
          </w:tcPr>
          <w:p w14:paraId="419F9EC2" w14:textId="77777777" w:rsidR="007409E1" w:rsidRDefault="007409E1">
            <w:pPr>
              <w:pStyle w:val="Table-Text"/>
              <w:overflowPunct w:val="0"/>
              <w:autoSpaceDE w:val="0"/>
              <w:autoSpaceDN w:val="0"/>
              <w:jc w:val="both"/>
              <w:textAlignment w:val="baseline"/>
            </w:pPr>
            <w:r>
              <w:t>[</w:t>
            </w:r>
            <w:r>
              <w:rPr>
                <w:rFonts w:ascii="Wingdings" w:hAnsi="Wingdings"/>
              </w:rPr>
              <w:t></w:t>
            </w:r>
            <w:r>
              <w:rPr>
                <w:rFonts w:hint="eastAsia"/>
              </w:rPr>
              <w:t>                    </w:t>
            </w:r>
            <w:r>
              <w:t>]]</w:t>
            </w:r>
          </w:p>
        </w:tc>
      </w:tr>
      <w:tr w:rsidR="007409E1" w14:paraId="41B66FCB" w14:textId="77777777">
        <w:tc>
          <w:tcPr>
            <w:tcW w:w="9245" w:type="dxa"/>
            <w:gridSpan w:val="3"/>
            <w:shd w:val="clear" w:color="auto" w:fill="auto"/>
          </w:tcPr>
          <w:p w14:paraId="745A27D1" w14:textId="77777777" w:rsidR="007409E1" w:rsidRDefault="007409E1">
            <w:pPr>
              <w:pStyle w:val="Table-Text"/>
              <w:keepNext/>
              <w:overflowPunct w:val="0"/>
              <w:autoSpaceDE w:val="0"/>
              <w:autoSpaceDN w:val="0"/>
              <w:jc w:val="both"/>
              <w:textAlignment w:val="baseline"/>
              <w:rPr>
                <w:b/>
              </w:rPr>
            </w:pPr>
            <w:r>
              <w:rPr>
                <w:b/>
              </w:rPr>
              <w:t>Provisions relating to Interest payable</w:t>
            </w:r>
          </w:p>
        </w:tc>
      </w:tr>
      <w:tr w:rsidR="007409E1" w14:paraId="66BF4E3C" w14:textId="77777777">
        <w:tc>
          <w:tcPr>
            <w:tcW w:w="828" w:type="dxa"/>
            <w:shd w:val="clear" w:color="auto" w:fill="auto"/>
          </w:tcPr>
          <w:p w14:paraId="0EEB83C2" w14:textId="77777777" w:rsidR="007409E1" w:rsidRDefault="007409E1">
            <w:pPr>
              <w:pStyle w:val="ScheduleL1"/>
              <w:overflowPunct w:val="0"/>
              <w:autoSpaceDE w:val="0"/>
              <w:autoSpaceDN w:val="0"/>
              <w:spacing w:before="120" w:after="120"/>
              <w:textAlignment w:val="baseline"/>
            </w:pPr>
          </w:p>
        </w:tc>
        <w:tc>
          <w:tcPr>
            <w:tcW w:w="4140" w:type="dxa"/>
            <w:shd w:val="clear" w:color="auto" w:fill="auto"/>
          </w:tcPr>
          <w:p w14:paraId="7C2A681D" w14:textId="77777777" w:rsidR="007409E1" w:rsidRDefault="007409E1">
            <w:pPr>
              <w:pStyle w:val="Table-Text"/>
              <w:overflowPunct w:val="0"/>
              <w:autoSpaceDE w:val="0"/>
              <w:autoSpaceDN w:val="0"/>
              <w:textAlignment w:val="baseline"/>
              <w:rPr>
                <w:b/>
              </w:rPr>
            </w:pPr>
            <w:r>
              <w:rPr>
                <w:b/>
              </w:rPr>
              <w:t>Fixed Rate Note Provisions</w:t>
            </w:r>
          </w:p>
        </w:tc>
        <w:tc>
          <w:tcPr>
            <w:tcW w:w="4277" w:type="dxa"/>
            <w:shd w:val="clear" w:color="auto" w:fill="auto"/>
          </w:tcPr>
          <w:p w14:paraId="01E91B0C" w14:textId="77777777" w:rsidR="007409E1" w:rsidRDefault="007409E1">
            <w:pPr>
              <w:pStyle w:val="Table-Text"/>
              <w:overflowPunct w:val="0"/>
              <w:autoSpaceDE w:val="0"/>
              <w:autoSpaceDN w:val="0"/>
              <w:jc w:val="both"/>
              <w:textAlignment w:val="baseline"/>
            </w:pPr>
            <w:r>
              <w:t>[Applicable/Not Applicable]</w:t>
            </w:r>
          </w:p>
        </w:tc>
      </w:tr>
      <w:tr w:rsidR="007409E1" w14:paraId="5A6606E4" w14:textId="77777777">
        <w:tc>
          <w:tcPr>
            <w:tcW w:w="828" w:type="dxa"/>
            <w:shd w:val="clear" w:color="auto" w:fill="auto"/>
          </w:tcPr>
          <w:p w14:paraId="54293A73" w14:textId="77777777" w:rsidR="007409E1" w:rsidRDefault="007409E1">
            <w:pPr>
              <w:pStyle w:val="ScheduleL1"/>
              <w:numPr>
                <w:ilvl w:val="0"/>
                <w:numId w:val="0"/>
              </w:numPr>
              <w:overflowPunct w:val="0"/>
              <w:autoSpaceDE w:val="0"/>
              <w:autoSpaceDN w:val="0"/>
              <w:spacing w:before="120" w:after="120"/>
              <w:textAlignment w:val="baseline"/>
            </w:pPr>
          </w:p>
        </w:tc>
        <w:tc>
          <w:tcPr>
            <w:tcW w:w="4140" w:type="dxa"/>
            <w:shd w:val="clear" w:color="auto" w:fill="auto"/>
          </w:tcPr>
          <w:p w14:paraId="4CB438C6" w14:textId="77777777" w:rsidR="007409E1" w:rsidRDefault="007409E1">
            <w:pPr>
              <w:pStyle w:val="Table-Text"/>
              <w:numPr>
                <w:ilvl w:val="0"/>
                <w:numId w:val="26"/>
              </w:numPr>
              <w:tabs>
                <w:tab w:val="clear" w:pos="648"/>
                <w:tab w:val="num" w:pos="612"/>
              </w:tabs>
              <w:overflowPunct w:val="0"/>
              <w:autoSpaceDE w:val="0"/>
              <w:autoSpaceDN w:val="0"/>
              <w:ind w:left="612" w:hanging="612"/>
              <w:textAlignment w:val="baseline"/>
            </w:pPr>
            <w:r>
              <w:t>Rate[(s)] of Interest:</w:t>
            </w:r>
          </w:p>
        </w:tc>
        <w:tc>
          <w:tcPr>
            <w:tcW w:w="4277" w:type="dxa"/>
            <w:shd w:val="clear" w:color="auto" w:fill="auto"/>
          </w:tcPr>
          <w:p w14:paraId="38F2EC75" w14:textId="77777777" w:rsidR="007409E1" w:rsidRDefault="007409E1">
            <w:pPr>
              <w:pStyle w:val="Table-Text"/>
              <w:overflowPunct w:val="0"/>
              <w:autoSpaceDE w:val="0"/>
              <w:autoSpaceDN w:val="0"/>
              <w:jc w:val="both"/>
              <w:textAlignment w:val="baseline"/>
            </w:pPr>
            <w:r>
              <w:t>[</w:t>
            </w:r>
            <w:r>
              <w:rPr>
                <w:rFonts w:ascii="Wingdings" w:hAnsi="Wingdings"/>
              </w:rPr>
              <w:t></w:t>
            </w:r>
            <w:r>
              <w:t>] per cent per annum payable in arrear on each Interest Payment Date</w:t>
            </w:r>
          </w:p>
        </w:tc>
      </w:tr>
      <w:tr w:rsidR="007409E1" w14:paraId="20412A0C" w14:textId="77777777">
        <w:tc>
          <w:tcPr>
            <w:tcW w:w="828" w:type="dxa"/>
            <w:shd w:val="clear" w:color="auto" w:fill="auto"/>
          </w:tcPr>
          <w:p w14:paraId="1723301F" w14:textId="77777777" w:rsidR="007409E1" w:rsidRDefault="007409E1">
            <w:pPr>
              <w:pStyle w:val="ScheduleL1"/>
              <w:numPr>
                <w:ilvl w:val="0"/>
                <w:numId w:val="0"/>
              </w:numPr>
              <w:overflowPunct w:val="0"/>
              <w:autoSpaceDE w:val="0"/>
              <w:autoSpaceDN w:val="0"/>
              <w:spacing w:before="120" w:after="120"/>
              <w:textAlignment w:val="baseline"/>
            </w:pPr>
          </w:p>
        </w:tc>
        <w:tc>
          <w:tcPr>
            <w:tcW w:w="4140" w:type="dxa"/>
            <w:shd w:val="clear" w:color="auto" w:fill="auto"/>
          </w:tcPr>
          <w:p w14:paraId="3BF9E031" w14:textId="77777777" w:rsidR="007409E1" w:rsidRDefault="007409E1">
            <w:pPr>
              <w:pStyle w:val="Table-Text"/>
              <w:numPr>
                <w:ilvl w:val="0"/>
                <w:numId w:val="26"/>
              </w:numPr>
              <w:tabs>
                <w:tab w:val="clear" w:pos="648"/>
                <w:tab w:val="num" w:pos="612"/>
              </w:tabs>
              <w:overflowPunct w:val="0"/>
              <w:autoSpaceDE w:val="0"/>
              <w:autoSpaceDN w:val="0"/>
              <w:ind w:left="612" w:hanging="612"/>
              <w:textAlignment w:val="baseline"/>
            </w:pPr>
            <w:r>
              <w:t>Interest Payment Date(s):</w:t>
            </w:r>
          </w:p>
        </w:tc>
        <w:tc>
          <w:tcPr>
            <w:tcW w:w="4277" w:type="dxa"/>
            <w:shd w:val="clear" w:color="auto" w:fill="auto"/>
          </w:tcPr>
          <w:p w14:paraId="7C1A83DA" w14:textId="77777777" w:rsidR="007409E1" w:rsidRDefault="007409E1">
            <w:pPr>
              <w:pStyle w:val="Table-Text"/>
              <w:overflowPunct w:val="0"/>
              <w:autoSpaceDE w:val="0"/>
              <w:autoSpaceDN w:val="0"/>
              <w:jc w:val="both"/>
              <w:textAlignment w:val="baseline"/>
            </w:pPr>
            <w:r>
              <w:t>[</w:t>
            </w:r>
            <w:r>
              <w:rPr>
                <w:rFonts w:ascii="Wingdings" w:hAnsi="Wingdings"/>
              </w:rPr>
              <w:t></w:t>
            </w:r>
            <w:r>
              <w:rPr>
                <w:rFonts w:hint="eastAsia"/>
              </w:rPr>
              <w:t>                    </w:t>
            </w:r>
            <w:r>
              <w:t>] in each year</w:t>
            </w:r>
          </w:p>
        </w:tc>
      </w:tr>
      <w:tr w:rsidR="007409E1" w14:paraId="637F8331" w14:textId="77777777">
        <w:tc>
          <w:tcPr>
            <w:tcW w:w="828" w:type="dxa"/>
            <w:shd w:val="clear" w:color="auto" w:fill="auto"/>
          </w:tcPr>
          <w:p w14:paraId="7EF6DEE7" w14:textId="77777777" w:rsidR="007409E1" w:rsidRDefault="007409E1">
            <w:pPr>
              <w:pStyle w:val="ScheduleL1"/>
              <w:numPr>
                <w:ilvl w:val="0"/>
                <w:numId w:val="0"/>
              </w:numPr>
              <w:overflowPunct w:val="0"/>
              <w:autoSpaceDE w:val="0"/>
              <w:autoSpaceDN w:val="0"/>
              <w:spacing w:before="120" w:after="120"/>
              <w:textAlignment w:val="baseline"/>
            </w:pPr>
          </w:p>
        </w:tc>
        <w:tc>
          <w:tcPr>
            <w:tcW w:w="4140" w:type="dxa"/>
            <w:shd w:val="clear" w:color="auto" w:fill="auto"/>
          </w:tcPr>
          <w:p w14:paraId="5FD24E3C" w14:textId="77777777" w:rsidR="007409E1" w:rsidRDefault="007409E1">
            <w:pPr>
              <w:pStyle w:val="Table-Text"/>
              <w:numPr>
                <w:ilvl w:val="0"/>
                <w:numId w:val="26"/>
              </w:numPr>
              <w:tabs>
                <w:tab w:val="clear" w:pos="648"/>
                <w:tab w:val="num" w:pos="612"/>
              </w:tabs>
              <w:overflowPunct w:val="0"/>
              <w:autoSpaceDE w:val="0"/>
              <w:autoSpaceDN w:val="0"/>
              <w:ind w:left="612" w:hanging="612"/>
              <w:textAlignment w:val="baseline"/>
            </w:pPr>
            <w:r>
              <w:t>Fixed Coupon Amount[(s)]:</w:t>
            </w:r>
          </w:p>
        </w:tc>
        <w:tc>
          <w:tcPr>
            <w:tcW w:w="4277" w:type="dxa"/>
            <w:shd w:val="clear" w:color="auto" w:fill="auto"/>
          </w:tcPr>
          <w:p w14:paraId="221039A0" w14:textId="77777777" w:rsidR="007409E1" w:rsidRDefault="007409E1">
            <w:pPr>
              <w:pStyle w:val="Table-Text"/>
              <w:overflowPunct w:val="0"/>
              <w:autoSpaceDE w:val="0"/>
              <w:autoSpaceDN w:val="0"/>
              <w:jc w:val="both"/>
              <w:textAlignment w:val="baseline"/>
            </w:pPr>
            <w:r>
              <w:t>[</w:t>
            </w:r>
            <w:r>
              <w:rPr>
                <w:rFonts w:ascii="Wingdings" w:hAnsi="Wingdings"/>
              </w:rPr>
              <w:t></w:t>
            </w:r>
            <w:r>
              <w:rPr>
                <w:rFonts w:hint="eastAsia"/>
              </w:rPr>
              <w:t>                    </w:t>
            </w:r>
            <w:r>
              <w:t>] per Calculation Amount</w:t>
            </w:r>
          </w:p>
        </w:tc>
      </w:tr>
      <w:tr w:rsidR="007409E1" w14:paraId="6F8DBA03" w14:textId="77777777">
        <w:tc>
          <w:tcPr>
            <w:tcW w:w="828" w:type="dxa"/>
            <w:shd w:val="clear" w:color="auto" w:fill="auto"/>
          </w:tcPr>
          <w:p w14:paraId="2DD8E75D" w14:textId="77777777" w:rsidR="007409E1" w:rsidRDefault="007409E1">
            <w:pPr>
              <w:pStyle w:val="ScheduleL1"/>
              <w:numPr>
                <w:ilvl w:val="0"/>
                <w:numId w:val="0"/>
              </w:numPr>
              <w:overflowPunct w:val="0"/>
              <w:autoSpaceDE w:val="0"/>
              <w:autoSpaceDN w:val="0"/>
              <w:spacing w:before="120" w:after="120"/>
              <w:textAlignment w:val="baseline"/>
            </w:pPr>
          </w:p>
        </w:tc>
        <w:tc>
          <w:tcPr>
            <w:tcW w:w="4140" w:type="dxa"/>
            <w:shd w:val="clear" w:color="auto" w:fill="auto"/>
          </w:tcPr>
          <w:p w14:paraId="75309839" w14:textId="77777777" w:rsidR="007409E1" w:rsidRDefault="007409E1">
            <w:pPr>
              <w:pStyle w:val="Table-Text"/>
              <w:numPr>
                <w:ilvl w:val="0"/>
                <w:numId w:val="26"/>
              </w:numPr>
              <w:tabs>
                <w:tab w:val="clear" w:pos="648"/>
                <w:tab w:val="num" w:pos="612"/>
              </w:tabs>
              <w:overflowPunct w:val="0"/>
              <w:autoSpaceDE w:val="0"/>
              <w:autoSpaceDN w:val="0"/>
              <w:ind w:left="612" w:hanging="612"/>
              <w:textAlignment w:val="baseline"/>
            </w:pPr>
            <w:r>
              <w:t>Broken Amount(s):</w:t>
            </w:r>
          </w:p>
        </w:tc>
        <w:tc>
          <w:tcPr>
            <w:tcW w:w="4277" w:type="dxa"/>
            <w:shd w:val="clear" w:color="auto" w:fill="auto"/>
          </w:tcPr>
          <w:p w14:paraId="644CC0CF" w14:textId="77777777" w:rsidR="007409E1" w:rsidRDefault="007409E1">
            <w:pPr>
              <w:pStyle w:val="Table-Text"/>
              <w:overflowPunct w:val="0"/>
              <w:autoSpaceDE w:val="0"/>
              <w:autoSpaceDN w:val="0"/>
              <w:jc w:val="both"/>
              <w:textAlignment w:val="baseline"/>
            </w:pPr>
            <w:r>
              <w:t>[</w:t>
            </w:r>
            <w:r>
              <w:rPr>
                <w:rFonts w:ascii="Wingdings" w:hAnsi="Wingdings"/>
              </w:rPr>
              <w:t></w:t>
            </w:r>
            <w:r>
              <w:rPr>
                <w:rFonts w:hint="eastAsia"/>
              </w:rPr>
              <w:t>                    </w:t>
            </w:r>
            <w:r>
              <w:t>] per Calculation Amount, payable on the Interest Payment Date falling [in/on] [</w:t>
            </w:r>
            <w:r>
              <w:rPr>
                <w:rFonts w:ascii="Wingdings" w:hAnsi="Wingdings"/>
              </w:rPr>
              <w:t></w:t>
            </w:r>
            <w:r>
              <w:rPr>
                <w:rFonts w:hint="eastAsia"/>
              </w:rPr>
              <w:t>                    </w:t>
            </w:r>
            <w:r>
              <w:t>]</w:t>
            </w:r>
          </w:p>
        </w:tc>
      </w:tr>
      <w:tr w:rsidR="007409E1" w14:paraId="32EBDC7C" w14:textId="77777777">
        <w:tc>
          <w:tcPr>
            <w:tcW w:w="828" w:type="dxa"/>
            <w:shd w:val="clear" w:color="auto" w:fill="auto"/>
          </w:tcPr>
          <w:p w14:paraId="2B25E5C0" w14:textId="77777777" w:rsidR="007409E1" w:rsidRDefault="007409E1">
            <w:pPr>
              <w:pStyle w:val="ScheduleL1"/>
              <w:numPr>
                <w:ilvl w:val="0"/>
                <w:numId w:val="0"/>
              </w:numPr>
              <w:overflowPunct w:val="0"/>
              <w:autoSpaceDE w:val="0"/>
              <w:autoSpaceDN w:val="0"/>
              <w:spacing w:before="120" w:after="120"/>
              <w:textAlignment w:val="baseline"/>
            </w:pPr>
          </w:p>
        </w:tc>
        <w:tc>
          <w:tcPr>
            <w:tcW w:w="4140" w:type="dxa"/>
            <w:shd w:val="clear" w:color="auto" w:fill="auto"/>
          </w:tcPr>
          <w:p w14:paraId="67EBB683" w14:textId="77777777" w:rsidR="007409E1" w:rsidRDefault="007409E1">
            <w:pPr>
              <w:pStyle w:val="Table-Text"/>
              <w:numPr>
                <w:ilvl w:val="0"/>
                <w:numId w:val="26"/>
              </w:numPr>
              <w:tabs>
                <w:tab w:val="clear" w:pos="648"/>
                <w:tab w:val="num" w:pos="612"/>
              </w:tabs>
              <w:overflowPunct w:val="0"/>
              <w:autoSpaceDE w:val="0"/>
              <w:autoSpaceDN w:val="0"/>
              <w:ind w:left="612" w:hanging="612"/>
              <w:textAlignment w:val="baseline"/>
            </w:pPr>
            <w:r>
              <w:t>Day Count Fraction:</w:t>
            </w:r>
          </w:p>
        </w:tc>
        <w:tc>
          <w:tcPr>
            <w:tcW w:w="4277" w:type="dxa"/>
            <w:shd w:val="clear" w:color="auto" w:fill="auto"/>
          </w:tcPr>
          <w:p w14:paraId="58C5AF88" w14:textId="77777777" w:rsidR="007409E1" w:rsidRDefault="007409E1">
            <w:pPr>
              <w:pStyle w:val="Table-Text"/>
              <w:overflowPunct w:val="0"/>
              <w:autoSpaceDE w:val="0"/>
              <w:autoSpaceDN w:val="0"/>
              <w:jc w:val="both"/>
              <w:textAlignment w:val="baseline"/>
              <w:rPr>
                <w:lang w:val="es-ES"/>
              </w:rPr>
            </w:pPr>
            <w:r>
              <w:rPr>
                <w:lang w:val="es-ES"/>
              </w:rPr>
              <w:t>[30/360 / Actual/Actual (ICMA/ISDA) / Actual 365 (Fixed) / Actual/360 / 30E/360 / 30E/360 (ISDA)]</w:t>
            </w:r>
          </w:p>
        </w:tc>
      </w:tr>
      <w:tr w:rsidR="00252E59" w:rsidRPr="00252E59" w14:paraId="4D92E13D" w14:textId="77777777">
        <w:tc>
          <w:tcPr>
            <w:tcW w:w="828" w:type="dxa"/>
            <w:shd w:val="clear" w:color="auto" w:fill="auto"/>
          </w:tcPr>
          <w:p w14:paraId="1D763FFD" w14:textId="77777777" w:rsidR="00252E59" w:rsidRDefault="00252E59">
            <w:pPr>
              <w:pStyle w:val="ScheduleL1"/>
              <w:numPr>
                <w:ilvl w:val="0"/>
                <w:numId w:val="0"/>
              </w:numPr>
              <w:overflowPunct w:val="0"/>
              <w:autoSpaceDE w:val="0"/>
              <w:autoSpaceDN w:val="0"/>
              <w:spacing w:before="120" w:after="120"/>
              <w:textAlignment w:val="baseline"/>
            </w:pPr>
          </w:p>
        </w:tc>
        <w:tc>
          <w:tcPr>
            <w:tcW w:w="4140" w:type="dxa"/>
            <w:shd w:val="clear" w:color="auto" w:fill="auto"/>
          </w:tcPr>
          <w:p w14:paraId="5C819690" w14:textId="77777777" w:rsidR="00252E59" w:rsidRDefault="00252E59">
            <w:pPr>
              <w:pStyle w:val="Table-Text"/>
              <w:numPr>
                <w:ilvl w:val="0"/>
                <w:numId w:val="26"/>
              </w:numPr>
              <w:tabs>
                <w:tab w:val="clear" w:pos="648"/>
                <w:tab w:val="num" w:pos="612"/>
              </w:tabs>
              <w:overflowPunct w:val="0"/>
              <w:autoSpaceDE w:val="0"/>
              <w:autoSpaceDN w:val="0"/>
              <w:ind w:left="612" w:hanging="612"/>
              <w:textAlignment w:val="baseline"/>
            </w:pPr>
            <w:r>
              <w:t>[Determination Dates:</w:t>
            </w:r>
          </w:p>
        </w:tc>
        <w:tc>
          <w:tcPr>
            <w:tcW w:w="4277" w:type="dxa"/>
            <w:shd w:val="clear" w:color="auto" w:fill="auto"/>
          </w:tcPr>
          <w:p w14:paraId="727A015A" w14:textId="77777777" w:rsidR="00252E59" w:rsidRPr="00252E59" w:rsidRDefault="00252E59">
            <w:pPr>
              <w:pStyle w:val="Table-Text"/>
              <w:overflowPunct w:val="0"/>
              <w:autoSpaceDE w:val="0"/>
              <w:autoSpaceDN w:val="0"/>
              <w:jc w:val="both"/>
              <w:textAlignment w:val="baseline"/>
              <w:rPr>
                <w:lang w:val="en-US"/>
              </w:rPr>
            </w:pPr>
            <w:r w:rsidRPr="00252E59">
              <w:rPr>
                <w:lang w:val="en-US"/>
              </w:rPr>
              <w:t>[</w:t>
            </w:r>
            <w:r>
              <w:rPr>
                <w:rFonts w:ascii="Wingdings" w:hAnsi="Wingdings"/>
              </w:rPr>
              <w:t></w:t>
            </w:r>
            <w:r w:rsidRPr="00252E59">
              <w:rPr>
                <w:lang w:val="en-US"/>
              </w:rPr>
              <w:t xml:space="preserve">] in each year (insert regular interest payment dates, ignoring issue date or maturity date in the case of a long or short first or last coupon. </w:t>
            </w:r>
            <w:r w:rsidRPr="00252E59">
              <w:rPr>
                <w:lang w:val="es-ES"/>
              </w:rPr>
              <w:t>N.B. only relevant where Day Count Fraction is Actual/Actual (ICMA))]</w:t>
            </w:r>
          </w:p>
        </w:tc>
      </w:tr>
      <w:tr w:rsidR="007409E1" w14:paraId="57827FE9" w14:textId="77777777">
        <w:tc>
          <w:tcPr>
            <w:tcW w:w="828" w:type="dxa"/>
            <w:shd w:val="clear" w:color="auto" w:fill="auto"/>
          </w:tcPr>
          <w:p w14:paraId="16D7D1A1" w14:textId="77777777" w:rsidR="007409E1" w:rsidRPr="00252E59" w:rsidRDefault="007409E1">
            <w:pPr>
              <w:pStyle w:val="ScheduleL1"/>
              <w:overflowPunct w:val="0"/>
              <w:autoSpaceDE w:val="0"/>
              <w:autoSpaceDN w:val="0"/>
              <w:spacing w:before="120" w:after="120"/>
              <w:textAlignment w:val="baseline"/>
              <w:rPr>
                <w:lang w:val="en-US"/>
              </w:rPr>
            </w:pPr>
          </w:p>
        </w:tc>
        <w:tc>
          <w:tcPr>
            <w:tcW w:w="4140" w:type="dxa"/>
            <w:shd w:val="clear" w:color="auto" w:fill="auto"/>
          </w:tcPr>
          <w:p w14:paraId="7091D99D" w14:textId="77777777" w:rsidR="007409E1" w:rsidRDefault="007409E1">
            <w:pPr>
              <w:pStyle w:val="Table-Text"/>
              <w:overflowPunct w:val="0"/>
              <w:autoSpaceDE w:val="0"/>
              <w:autoSpaceDN w:val="0"/>
              <w:textAlignment w:val="baseline"/>
              <w:rPr>
                <w:b/>
              </w:rPr>
            </w:pPr>
            <w:r>
              <w:rPr>
                <w:b/>
              </w:rPr>
              <w:t>Floating Rate Note Provisions</w:t>
            </w:r>
          </w:p>
        </w:tc>
        <w:tc>
          <w:tcPr>
            <w:tcW w:w="4277" w:type="dxa"/>
            <w:shd w:val="clear" w:color="auto" w:fill="auto"/>
          </w:tcPr>
          <w:p w14:paraId="26564ADB" w14:textId="77777777" w:rsidR="007409E1" w:rsidRDefault="007409E1">
            <w:pPr>
              <w:pStyle w:val="Table-Text"/>
              <w:overflowPunct w:val="0"/>
              <w:autoSpaceDE w:val="0"/>
              <w:autoSpaceDN w:val="0"/>
              <w:jc w:val="both"/>
              <w:textAlignment w:val="baseline"/>
            </w:pPr>
            <w:r>
              <w:t>[Applicable/Not Applicable]</w:t>
            </w:r>
          </w:p>
        </w:tc>
      </w:tr>
      <w:tr w:rsidR="007409E1" w14:paraId="5F765A8D" w14:textId="77777777">
        <w:tc>
          <w:tcPr>
            <w:tcW w:w="828" w:type="dxa"/>
            <w:shd w:val="clear" w:color="auto" w:fill="auto"/>
          </w:tcPr>
          <w:p w14:paraId="4471EB01" w14:textId="77777777" w:rsidR="007409E1" w:rsidRDefault="007409E1">
            <w:pPr>
              <w:pStyle w:val="ScheduleL1"/>
              <w:numPr>
                <w:ilvl w:val="0"/>
                <w:numId w:val="0"/>
              </w:numPr>
              <w:overflowPunct w:val="0"/>
              <w:autoSpaceDE w:val="0"/>
              <w:autoSpaceDN w:val="0"/>
              <w:spacing w:before="120" w:after="120"/>
              <w:textAlignment w:val="baseline"/>
            </w:pPr>
          </w:p>
        </w:tc>
        <w:tc>
          <w:tcPr>
            <w:tcW w:w="4140" w:type="dxa"/>
            <w:shd w:val="clear" w:color="auto" w:fill="auto"/>
          </w:tcPr>
          <w:p w14:paraId="61516BA4" w14:textId="77777777" w:rsidR="007409E1" w:rsidRDefault="007409E1">
            <w:pPr>
              <w:pStyle w:val="Table-Text"/>
              <w:numPr>
                <w:ilvl w:val="0"/>
                <w:numId w:val="27"/>
              </w:numPr>
              <w:overflowPunct w:val="0"/>
              <w:autoSpaceDE w:val="0"/>
              <w:autoSpaceDN w:val="0"/>
              <w:ind w:left="612" w:hanging="612"/>
              <w:textAlignment w:val="baseline"/>
            </w:pPr>
            <w:r>
              <w:t>Interest Period(s):</w:t>
            </w:r>
          </w:p>
        </w:tc>
        <w:tc>
          <w:tcPr>
            <w:tcW w:w="4277" w:type="dxa"/>
            <w:shd w:val="clear" w:color="auto" w:fill="auto"/>
          </w:tcPr>
          <w:p w14:paraId="0B9B4A19" w14:textId="77777777" w:rsidR="007409E1" w:rsidRDefault="007409E1">
            <w:pPr>
              <w:pStyle w:val="Table-Text"/>
              <w:overflowPunct w:val="0"/>
              <w:autoSpaceDE w:val="0"/>
              <w:autoSpaceDN w:val="0"/>
              <w:jc w:val="both"/>
              <w:textAlignment w:val="baseline"/>
            </w:pPr>
            <w:r>
              <w:t>[</w:t>
            </w:r>
            <w:r>
              <w:rPr>
                <w:rFonts w:ascii="Wingdings" w:hAnsi="Wingdings"/>
              </w:rPr>
              <w:t></w:t>
            </w:r>
            <w:r w:rsidR="00252E59" w:rsidRPr="00252E59">
              <w:t xml:space="preserve">] </w:t>
            </w:r>
            <w:r w:rsidR="00C473F1" w:rsidRPr="00C473F1">
              <w:t>[, subject to adjustment in accordance with the Business Day Convention set out in (v) below/, not subject to any adjustment, as the Business Day Convention in (v) below is specified to be Not Applicable]</w:t>
            </w:r>
            <w:r w:rsidR="00C473F1" w:rsidRPr="00C473F1">
              <w:tab/>
            </w:r>
          </w:p>
        </w:tc>
      </w:tr>
      <w:tr w:rsidR="007409E1" w14:paraId="7F982DF6" w14:textId="77777777">
        <w:tc>
          <w:tcPr>
            <w:tcW w:w="828" w:type="dxa"/>
            <w:shd w:val="clear" w:color="auto" w:fill="auto"/>
          </w:tcPr>
          <w:p w14:paraId="5A7CB946" w14:textId="77777777" w:rsidR="007409E1" w:rsidRDefault="007409E1">
            <w:pPr>
              <w:pStyle w:val="ScheduleL1"/>
              <w:numPr>
                <w:ilvl w:val="0"/>
                <w:numId w:val="0"/>
              </w:numPr>
              <w:overflowPunct w:val="0"/>
              <w:autoSpaceDE w:val="0"/>
              <w:autoSpaceDN w:val="0"/>
              <w:spacing w:before="120" w:after="120"/>
              <w:textAlignment w:val="baseline"/>
            </w:pPr>
          </w:p>
        </w:tc>
        <w:tc>
          <w:tcPr>
            <w:tcW w:w="4140" w:type="dxa"/>
            <w:shd w:val="clear" w:color="auto" w:fill="auto"/>
          </w:tcPr>
          <w:p w14:paraId="7DDC9B67" w14:textId="77777777" w:rsidR="007409E1" w:rsidRDefault="007409E1">
            <w:pPr>
              <w:pStyle w:val="Table-Text"/>
              <w:numPr>
                <w:ilvl w:val="0"/>
                <w:numId w:val="27"/>
              </w:numPr>
              <w:overflowPunct w:val="0"/>
              <w:autoSpaceDE w:val="0"/>
              <w:autoSpaceDN w:val="0"/>
              <w:ind w:left="612" w:hanging="612"/>
              <w:textAlignment w:val="baseline"/>
            </w:pPr>
            <w:r>
              <w:t>Specified Period:</w:t>
            </w:r>
          </w:p>
        </w:tc>
        <w:tc>
          <w:tcPr>
            <w:tcW w:w="4277" w:type="dxa"/>
            <w:shd w:val="clear" w:color="auto" w:fill="auto"/>
          </w:tcPr>
          <w:p w14:paraId="1342AA9E" w14:textId="77777777" w:rsidR="007409E1" w:rsidRDefault="007409E1">
            <w:pPr>
              <w:pStyle w:val="Table-Text"/>
              <w:overflowPunct w:val="0"/>
              <w:autoSpaceDE w:val="0"/>
              <w:autoSpaceDN w:val="0"/>
              <w:jc w:val="both"/>
              <w:textAlignment w:val="baseline"/>
            </w:pPr>
            <w:r>
              <w:t>[</w:t>
            </w:r>
            <w:r>
              <w:rPr>
                <w:rFonts w:ascii="Wingdings" w:hAnsi="Wingdings"/>
              </w:rPr>
              <w:t></w:t>
            </w:r>
            <w:r>
              <w:rPr>
                <w:rFonts w:hint="eastAsia"/>
              </w:rPr>
              <w:t>                    </w:t>
            </w:r>
            <w:r>
              <w:t>]</w:t>
            </w:r>
          </w:p>
        </w:tc>
      </w:tr>
      <w:tr w:rsidR="007409E1" w14:paraId="7F1A3E1D" w14:textId="77777777">
        <w:tc>
          <w:tcPr>
            <w:tcW w:w="828" w:type="dxa"/>
            <w:shd w:val="clear" w:color="auto" w:fill="auto"/>
          </w:tcPr>
          <w:p w14:paraId="0C2829E9" w14:textId="77777777" w:rsidR="007409E1" w:rsidRDefault="007409E1">
            <w:pPr>
              <w:pStyle w:val="ScheduleL1"/>
              <w:numPr>
                <w:ilvl w:val="0"/>
                <w:numId w:val="0"/>
              </w:numPr>
              <w:overflowPunct w:val="0"/>
              <w:autoSpaceDE w:val="0"/>
              <w:autoSpaceDN w:val="0"/>
              <w:spacing w:before="120" w:after="120"/>
              <w:textAlignment w:val="baseline"/>
            </w:pPr>
          </w:p>
        </w:tc>
        <w:tc>
          <w:tcPr>
            <w:tcW w:w="4140" w:type="dxa"/>
            <w:shd w:val="clear" w:color="auto" w:fill="auto"/>
          </w:tcPr>
          <w:p w14:paraId="7BDC86B7" w14:textId="77777777" w:rsidR="007409E1" w:rsidRDefault="007409E1">
            <w:pPr>
              <w:pStyle w:val="Table-Text"/>
              <w:numPr>
                <w:ilvl w:val="0"/>
                <w:numId w:val="27"/>
              </w:numPr>
              <w:overflowPunct w:val="0"/>
              <w:autoSpaceDE w:val="0"/>
              <w:autoSpaceDN w:val="0"/>
              <w:ind w:left="612" w:hanging="612"/>
              <w:textAlignment w:val="baseline"/>
            </w:pPr>
            <w:r>
              <w:t>Specified Interest Payment Dates:</w:t>
            </w:r>
          </w:p>
        </w:tc>
        <w:tc>
          <w:tcPr>
            <w:tcW w:w="4277" w:type="dxa"/>
            <w:shd w:val="clear" w:color="auto" w:fill="auto"/>
          </w:tcPr>
          <w:p w14:paraId="562907BA" w14:textId="77777777" w:rsidR="007409E1" w:rsidRDefault="007409E1">
            <w:pPr>
              <w:pStyle w:val="Table-Text"/>
              <w:overflowPunct w:val="0"/>
              <w:autoSpaceDE w:val="0"/>
              <w:autoSpaceDN w:val="0"/>
              <w:jc w:val="both"/>
              <w:textAlignment w:val="baseline"/>
            </w:pPr>
            <w:r>
              <w:t>[Not Applicable/[</w:t>
            </w:r>
            <w:r>
              <w:rPr>
                <w:rFonts w:ascii="Wingdings" w:hAnsi="Wingdings"/>
              </w:rPr>
              <w:t></w:t>
            </w:r>
            <w:r>
              <w:rPr>
                <w:rFonts w:hint="eastAsia"/>
              </w:rPr>
              <w:t>                    </w:t>
            </w:r>
            <w:r>
              <w:t xml:space="preserve">], subject to adjustment in accordance with the Business Day Convention set out in </w:t>
            </w:r>
            <w:r>
              <w:fldChar w:fldCharType="begin"/>
            </w:r>
            <w:r>
              <w:instrText xml:space="preserve"> REF _Ref493540325 \r \h </w:instrText>
            </w:r>
            <w:r>
              <w:fldChar w:fldCharType="separate"/>
            </w:r>
            <w:r w:rsidR="007465B3">
              <w:t>(v)</w:t>
            </w:r>
            <w:r>
              <w:fldChar w:fldCharType="end"/>
            </w:r>
            <w:r>
              <w:t xml:space="preserve"> below</w:t>
            </w:r>
            <w:r w:rsidR="00263336">
              <w:t>/, not subject to any adjustment as the Business Day Convention in (v) below is specified to be Not Applicable</w:t>
            </w:r>
            <w:r>
              <w:t>]</w:t>
            </w:r>
          </w:p>
        </w:tc>
      </w:tr>
      <w:tr w:rsidR="007409E1" w14:paraId="3FB2905B" w14:textId="77777777">
        <w:tc>
          <w:tcPr>
            <w:tcW w:w="828" w:type="dxa"/>
            <w:shd w:val="clear" w:color="auto" w:fill="auto"/>
          </w:tcPr>
          <w:p w14:paraId="2CCDCCAE" w14:textId="77777777" w:rsidR="007409E1" w:rsidRDefault="007409E1">
            <w:pPr>
              <w:pStyle w:val="ScheduleL1"/>
              <w:numPr>
                <w:ilvl w:val="0"/>
                <w:numId w:val="0"/>
              </w:numPr>
              <w:overflowPunct w:val="0"/>
              <w:autoSpaceDE w:val="0"/>
              <w:autoSpaceDN w:val="0"/>
              <w:spacing w:before="120" w:after="120"/>
              <w:textAlignment w:val="baseline"/>
            </w:pPr>
          </w:p>
        </w:tc>
        <w:tc>
          <w:tcPr>
            <w:tcW w:w="4140" w:type="dxa"/>
            <w:shd w:val="clear" w:color="auto" w:fill="auto"/>
          </w:tcPr>
          <w:p w14:paraId="6E3209A6" w14:textId="77777777" w:rsidR="007409E1" w:rsidRDefault="007409E1">
            <w:pPr>
              <w:pStyle w:val="Table-Text"/>
              <w:numPr>
                <w:ilvl w:val="0"/>
                <w:numId w:val="27"/>
              </w:numPr>
              <w:overflowPunct w:val="0"/>
              <w:autoSpaceDE w:val="0"/>
              <w:autoSpaceDN w:val="0"/>
              <w:ind w:left="612" w:hanging="612"/>
              <w:textAlignment w:val="baseline"/>
            </w:pPr>
            <w:r>
              <w:t>[First Interest Payment Date]:</w:t>
            </w:r>
          </w:p>
        </w:tc>
        <w:tc>
          <w:tcPr>
            <w:tcW w:w="4277" w:type="dxa"/>
            <w:shd w:val="clear" w:color="auto" w:fill="auto"/>
          </w:tcPr>
          <w:p w14:paraId="10A9085D" w14:textId="77777777" w:rsidR="007409E1" w:rsidRDefault="007409E1">
            <w:pPr>
              <w:pStyle w:val="Table-Text"/>
              <w:overflowPunct w:val="0"/>
              <w:autoSpaceDE w:val="0"/>
              <w:autoSpaceDN w:val="0"/>
              <w:jc w:val="both"/>
              <w:textAlignment w:val="baseline"/>
            </w:pPr>
            <w:r>
              <w:t>[</w:t>
            </w:r>
            <w:r>
              <w:rPr>
                <w:rFonts w:ascii="Wingdings" w:hAnsi="Wingdings"/>
              </w:rPr>
              <w:t></w:t>
            </w:r>
            <w:r>
              <w:rPr>
                <w:rFonts w:hint="eastAsia"/>
              </w:rPr>
              <w:t>                    </w:t>
            </w:r>
            <w:r>
              <w:t>]</w:t>
            </w:r>
          </w:p>
        </w:tc>
      </w:tr>
      <w:tr w:rsidR="007409E1" w14:paraId="0BB92A7E" w14:textId="77777777">
        <w:tc>
          <w:tcPr>
            <w:tcW w:w="828" w:type="dxa"/>
            <w:shd w:val="clear" w:color="auto" w:fill="auto"/>
          </w:tcPr>
          <w:p w14:paraId="4058D238" w14:textId="77777777" w:rsidR="007409E1" w:rsidRDefault="007409E1">
            <w:pPr>
              <w:pStyle w:val="ScheduleL1"/>
              <w:numPr>
                <w:ilvl w:val="0"/>
                <w:numId w:val="0"/>
              </w:numPr>
              <w:overflowPunct w:val="0"/>
              <w:autoSpaceDE w:val="0"/>
              <w:autoSpaceDN w:val="0"/>
              <w:spacing w:before="120" w:after="120"/>
              <w:textAlignment w:val="baseline"/>
            </w:pPr>
          </w:p>
        </w:tc>
        <w:tc>
          <w:tcPr>
            <w:tcW w:w="4140" w:type="dxa"/>
            <w:shd w:val="clear" w:color="auto" w:fill="auto"/>
          </w:tcPr>
          <w:p w14:paraId="2A857C0C" w14:textId="77777777" w:rsidR="007409E1" w:rsidRDefault="007409E1">
            <w:pPr>
              <w:pStyle w:val="Table-Text"/>
              <w:numPr>
                <w:ilvl w:val="0"/>
                <w:numId w:val="27"/>
              </w:numPr>
              <w:overflowPunct w:val="0"/>
              <w:autoSpaceDE w:val="0"/>
              <w:autoSpaceDN w:val="0"/>
              <w:ind w:left="612" w:hanging="612"/>
              <w:textAlignment w:val="baseline"/>
            </w:pPr>
            <w:bookmarkStart w:id="22" w:name="_Ref493540325"/>
            <w:r>
              <w:t>Business Day Convention:</w:t>
            </w:r>
            <w:bookmarkEnd w:id="22"/>
          </w:p>
        </w:tc>
        <w:tc>
          <w:tcPr>
            <w:tcW w:w="4277" w:type="dxa"/>
            <w:shd w:val="clear" w:color="auto" w:fill="auto"/>
          </w:tcPr>
          <w:p w14:paraId="5DF499B2" w14:textId="77777777" w:rsidR="007409E1" w:rsidRDefault="007409E1">
            <w:pPr>
              <w:pStyle w:val="Table-Text"/>
              <w:overflowPunct w:val="0"/>
              <w:autoSpaceDE w:val="0"/>
              <w:autoSpaceDN w:val="0"/>
              <w:jc w:val="both"/>
              <w:textAlignment w:val="baseline"/>
            </w:pPr>
            <w:r>
              <w:t>[Floating Rate Convention/Following Business Day Convention/ Modified Following Business Day Convention/ Preceding Business Day Convention]</w:t>
            </w:r>
            <w:r w:rsidR="00263336">
              <w:t xml:space="preserve"> [Not Applicable]</w:t>
            </w:r>
          </w:p>
        </w:tc>
      </w:tr>
      <w:tr w:rsidR="007409E1" w14:paraId="22CCEBD1" w14:textId="77777777">
        <w:tc>
          <w:tcPr>
            <w:tcW w:w="828" w:type="dxa"/>
            <w:shd w:val="clear" w:color="auto" w:fill="auto"/>
          </w:tcPr>
          <w:p w14:paraId="599FDBAB" w14:textId="77777777" w:rsidR="007409E1" w:rsidRDefault="007409E1">
            <w:pPr>
              <w:pStyle w:val="ScheduleL1"/>
              <w:numPr>
                <w:ilvl w:val="0"/>
                <w:numId w:val="0"/>
              </w:numPr>
              <w:overflowPunct w:val="0"/>
              <w:autoSpaceDE w:val="0"/>
              <w:autoSpaceDN w:val="0"/>
              <w:spacing w:before="120" w:after="120"/>
              <w:textAlignment w:val="baseline"/>
            </w:pPr>
          </w:p>
        </w:tc>
        <w:tc>
          <w:tcPr>
            <w:tcW w:w="4140" w:type="dxa"/>
            <w:shd w:val="clear" w:color="auto" w:fill="auto"/>
          </w:tcPr>
          <w:p w14:paraId="64BB1C4A" w14:textId="77777777" w:rsidR="007409E1" w:rsidRDefault="007409E1">
            <w:pPr>
              <w:pStyle w:val="Table-Text"/>
              <w:numPr>
                <w:ilvl w:val="0"/>
                <w:numId w:val="27"/>
              </w:numPr>
              <w:overflowPunct w:val="0"/>
              <w:autoSpaceDE w:val="0"/>
              <w:autoSpaceDN w:val="0"/>
              <w:ind w:left="612" w:hanging="612"/>
              <w:textAlignment w:val="baseline"/>
            </w:pPr>
            <w:r>
              <w:t>Additional Business Centre(s):</w:t>
            </w:r>
          </w:p>
        </w:tc>
        <w:tc>
          <w:tcPr>
            <w:tcW w:w="4277" w:type="dxa"/>
            <w:shd w:val="clear" w:color="auto" w:fill="auto"/>
          </w:tcPr>
          <w:p w14:paraId="793935AB" w14:textId="77777777" w:rsidR="007409E1" w:rsidRDefault="007409E1">
            <w:pPr>
              <w:pStyle w:val="Table-Text"/>
              <w:overflowPunct w:val="0"/>
              <w:autoSpaceDE w:val="0"/>
              <w:autoSpaceDN w:val="0"/>
              <w:jc w:val="both"/>
              <w:textAlignment w:val="baseline"/>
            </w:pPr>
            <w:r>
              <w:t>[Not Applicable/[</w:t>
            </w:r>
            <w:r>
              <w:rPr>
                <w:rFonts w:ascii="Wingdings" w:hAnsi="Wingdings"/>
              </w:rPr>
              <w:t></w:t>
            </w:r>
            <w:r>
              <w:rPr>
                <w:rFonts w:hint="eastAsia"/>
              </w:rPr>
              <w:t>                    </w:t>
            </w:r>
            <w:r>
              <w:t>]]</w:t>
            </w:r>
          </w:p>
        </w:tc>
      </w:tr>
      <w:tr w:rsidR="007409E1" w14:paraId="3762C066" w14:textId="77777777">
        <w:tc>
          <w:tcPr>
            <w:tcW w:w="828" w:type="dxa"/>
            <w:shd w:val="clear" w:color="auto" w:fill="auto"/>
          </w:tcPr>
          <w:p w14:paraId="2A7F6CCC" w14:textId="77777777" w:rsidR="007409E1" w:rsidRDefault="007409E1">
            <w:pPr>
              <w:pStyle w:val="ScheduleL1"/>
              <w:numPr>
                <w:ilvl w:val="0"/>
                <w:numId w:val="0"/>
              </w:numPr>
              <w:overflowPunct w:val="0"/>
              <w:autoSpaceDE w:val="0"/>
              <w:autoSpaceDN w:val="0"/>
              <w:spacing w:before="120" w:after="120"/>
              <w:textAlignment w:val="baseline"/>
            </w:pPr>
          </w:p>
        </w:tc>
        <w:tc>
          <w:tcPr>
            <w:tcW w:w="4140" w:type="dxa"/>
            <w:shd w:val="clear" w:color="auto" w:fill="auto"/>
          </w:tcPr>
          <w:p w14:paraId="757D869A" w14:textId="77777777" w:rsidR="007409E1" w:rsidRDefault="007409E1">
            <w:pPr>
              <w:pStyle w:val="Table-Text"/>
              <w:numPr>
                <w:ilvl w:val="0"/>
                <w:numId w:val="27"/>
              </w:numPr>
              <w:overflowPunct w:val="0"/>
              <w:autoSpaceDE w:val="0"/>
              <w:autoSpaceDN w:val="0"/>
              <w:ind w:left="612" w:hanging="612"/>
              <w:textAlignment w:val="baseline"/>
            </w:pPr>
            <w:r>
              <w:t>Manner in which the Rate(s) of Interest is/are to be determined:</w:t>
            </w:r>
          </w:p>
        </w:tc>
        <w:tc>
          <w:tcPr>
            <w:tcW w:w="4277" w:type="dxa"/>
            <w:shd w:val="clear" w:color="auto" w:fill="auto"/>
          </w:tcPr>
          <w:p w14:paraId="6BA1C07F" w14:textId="77777777" w:rsidR="007409E1" w:rsidRDefault="007409E1">
            <w:pPr>
              <w:pStyle w:val="Table-Text"/>
              <w:overflowPunct w:val="0"/>
              <w:autoSpaceDE w:val="0"/>
              <w:autoSpaceDN w:val="0"/>
              <w:jc w:val="both"/>
              <w:textAlignment w:val="baseline"/>
            </w:pPr>
            <w:r>
              <w:t>[Screen Rate Determination/ISDA Determination]</w:t>
            </w:r>
          </w:p>
        </w:tc>
      </w:tr>
      <w:tr w:rsidR="007409E1" w14:paraId="39A801D1" w14:textId="77777777">
        <w:tc>
          <w:tcPr>
            <w:tcW w:w="828" w:type="dxa"/>
            <w:shd w:val="clear" w:color="auto" w:fill="auto"/>
          </w:tcPr>
          <w:p w14:paraId="627BD10F" w14:textId="77777777" w:rsidR="007409E1" w:rsidRDefault="007409E1">
            <w:pPr>
              <w:pStyle w:val="ScheduleL1"/>
              <w:numPr>
                <w:ilvl w:val="0"/>
                <w:numId w:val="0"/>
              </w:numPr>
              <w:overflowPunct w:val="0"/>
              <w:autoSpaceDE w:val="0"/>
              <w:autoSpaceDN w:val="0"/>
              <w:spacing w:before="120" w:after="120"/>
              <w:textAlignment w:val="baseline"/>
            </w:pPr>
          </w:p>
        </w:tc>
        <w:tc>
          <w:tcPr>
            <w:tcW w:w="4140" w:type="dxa"/>
            <w:shd w:val="clear" w:color="auto" w:fill="auto"/>
          </w:tcPr>
          <w:p w14:paraId="43101BA5" w14:textId="77777777" w:rsidR="007409E1" w:rsidRDefault="007409E1">
            <w:pPr>
              <w:pStyle w:val="Table-Text"/>
              <w:numPr>
                <w:ilvl w:val="0"/>
                <w:numId w:val="27"/>
              </w:numPr>
              <w:overflowPunct w:val="0"/>
              <w:autoSpaceDE w:val="0"/>
              <w:autoSpaceDN w:val="0"/>
              <w:ind w:left="612" w:hanging="612"/>
              <w:textAlignment w:val="baseline"/>
            </w:pPr>
            <w:r>
              <w:t>Party responsible for calculating the Rate(s) of Interest and/or Interest Amount(s) (if not the Fiscal Agent):</w:t>
            </w:r>
          </w:p>
        </w:tc>
        <w:tc>
          <w:tcPr>
            <w:tcW w:w="4277" w:type="dxa"/>
            <w:shd w:val="clear" w:color="auto" w:fill="auto"/>
          </w:tcPr>
          <w:p w14:paraId="5C0151B2" w14:textId="77777777" w:rsidR="007409E1" w:rsidRDefault="007409E1">
            <w:pPr>
              <w:pStyle w:val="Table-Text"/>
              <w:overflowPunct w:val="0"/>
              <w:autoSpaceDE w:val="0"/>
              <w:autoSpaceDN w:val="0"/>
              <w:jc w:val="both"/>
              <w:textAlignment w:val="baseline"/>
            </w:pPr>
            <w:r>
              <w:t>[</w:t>
            </w:r>
            <w:r>
              <w:rPr>
                <w:rFonts w:ascii="Wingdings" w:hAnsi="Wingdings"/>
              </w:rPr>
              <w:t></w:t>
            </w:r>
            <w:r>
              <w:rPr>
                <w:rFonts w:hint="eastAsia"/>
              </w:rPr>
              <w:t>                    </w:t>
            </w:r>
            <w:r>
              <w:t>] shall be the Calculation Agent</w:t>
            </w:r>
          </w:p>
        </w:tc>
      </w:tr>
      <w:tr w:rsidR="007409E1" w14:paraId="000BB17F" w14:textId="77777777">
        <w:tc>
          <w:tcPr>
            <w:tcW w:w="828" w:type="dxa"/>
            <w:shd w:val="clear" w:color="auto" w:fill="auto"/>
          </w:tcPr>
          <w:p w14:paraId="7D5A74D5" w14:textId="77777777" w:rsidR="007409E1" w:rsidRDefault="007409E1">
            <w:pPr>
              <w:pStyle w:val="ScheduleL1"/>
              <w:numPr>
                <w:ilvl w:val="0"/>
                <w:numId w:val="0"/>
              </w:numPr>
              <w:overflowPunct w:val="0"/>
              <w:autoSpaceDE w:val="0"/>
              <w:autoSpaceDN w:val="0"/>
              <w:spacing w:before="120" w:after="120"/>
              <w:textAlignment w:val="baseline"/>
            </w:pPr>
          </w:p>
        </w:tc>
        <w:tc>
          <w:tcPr>
            <w:tcW w:w="4140" w:type="dxa"/>
            <w:shd w:val="clear" w:color="auto" w:fill="auto"/>
          </w:tcPr>
          <w:p w14:paraId="1240FB47" w14:textId="77777777" w:rsidR="007409E1" w:rsidRDefault="007409E1">
            <w:pPr>
              <w:pStyle w:val="Table-Text"/>
              <w:numPr>
                <w:ilvl w:val="0"/>
                <w:numId w:val="27"/>
              </w:numPr>
              <w:overflowPunct w:val="0"/>
              <w:autoSpaceDE w:val="0"/>
              <w:autoSpaceDN w:val="0"/>
              <w:ind w:left="612" w:hanging="612"/>
              <w:textAlignment w:val="baseline"/>
            </w:pPr>
            <w:r>
              <w:t>Screen Rate Determination:</w:t>
            </w:r>
          </w:p>
        </w:tc>
        <w:tc>
          <w:tcPr>
            <w:tcW w:w="4277" w:type="dxa"/>
            <w:shd w:val="clear" w:color="auto" w:fill="auto"/>
          </w:tcPr>
          <w:p w14:paraId="61F49BD9" w14:textId="77777777" w:rsidR="007409E1" w:rsidRDefault="007409E1">
            <w:pPr>
              <w:pStyle w:val="Table-Text"/>
              <w:overflowPunct w:val="0"/>
              <w:autoSpaceDE w:val="0"/>
              <w:autoSpaceDN w:val="0"/>
              <w:jc w:val="both"/>
              <w:textAlignment w:val="baseline"/>
            </w:pPr>
          </w:p>
        </w:tc>
      </w:tr>
      <w:tr w:rsidR="007409E1" w14:paraId="5C535C66" w14:textId="77777777">
        <w:tc>
          <w:tcPr>
            <w:tcW w:w="828" w:type="dxa"/>
            <w:shd w:val="clear" w:color="auto" w:fill="auto"/>
          </w:tcPr>
          <w:p w14:paraId="5BA50A8F" w14:textId="77777777" w:rsidR="007409E1" w:rsidRDefault="007409E1">
            <w:pPr>
              <w:pStyle w:val="ScheduleL1"/>
              <w:numPr>
                <w:ilvl w:val="0"/>
                <w:numId w:val="0"/>
              </w:numPr>
              <w:overflowPunct w:val="0"/>
              <w:autoSpaceDE w:val="0"/>
              <w:autoSpaceDN w:val="0"/>
              <w:spacing w:before="120" w:after="120"/>
              <w:textAlignment w:val="baseline"/>
            </w:pPr>
          </w:p>
        </w:tc>
        <w:tc>
          <w:tcPr>
            <w:tcW w:w="4140" w:type="dxa"/>
            <w:shd w:val="clear" w:color="auto" w:fill="auto"/>
          </w:tcPr>
          <w:p w14:paraId="6592FD58" w14:textId="77777777" w:rsidR="007409E1" w:rsidRDefault="007409E1">
            <w:pPr>
              <w:pStyle w:val="Table-Text"/>
              <w:numPr>
                <w:ilvl w:val="0"/>
                <w:numId w:val="28"/>
              </w:numPr>
              <w:overflowPunct w:val="0"/>
              <w:autoSpaceDE w:val="0"/>
              <w:autoSpaceDN w:val="0"/>
              <w:textAlignment w:val="baseline"/>
            </w:pPr>
            <w:r>
              <w:t>Reference Rate:</w:t>
            </w:r>
          </w:p>
        </w:tc>
        <w:tc>
          <w:tcPr>
            <w:tcW w:w="4277" w:type="dxa"/>
            <w:shd w:val="clear" w:color="auto" w:fill="auto"/>
          </w:tcPr>
          <w:p w14:paraId="530E07F0" w14:textId="77777777" w:rsidR="007409E1" w:rsidRDefault="007409E1">
            <w:pPr>
              <w:pStyle w:val="Table-Text"/>
              <w:overflowPunct w:val="0"/>
              <w:autoSpaceDE w:val="0"/>
              <w:autoSpaceDN w:val="0"/>
              <w:jc w:val="both"/>
              <w:textAlignment w:val="baseline"/>
            </w:pPr>
            <w:r>
              <w:t>[</w:t>
            </w:r>
            <w:r>
              <w:rPr>
                <w:rFonts w:ascii="Wingdings" w:hAnsi="Wingdings"/>
              </w:rPr>
              <w:t></w:t>
            </w:r>
            <w:r>
              <w:rPr>
                <w:rFonts w:hint="eastAsia"/>
              </w:rPr>
              <w:t>                    </w:t>
            </w:r>
            <w:r>
              <w:t>][</w:t>
            </w:r>
            <w:r>
              <w:rPr>
                <w:rFonts w:ascii="Wingdings" w:hAnsi="Wingdings"/>
              </w:rPr>
              <w:t></w:t>
            </w:r>
            <w:r>
              <w:rPr>
                <w:rFonts w:hint="eastAsia"/>
              </w:rPr>
              <w:t>                    </w:t>
            </w:r>
            <w:r>
              <w:t>] [EURIBOR]</w:t>
            </w:r>
          </w:p>
        </w:tc>
      </w:tr>
      <w:tr w:rsidR="007409E1" w14:paraId="57ED7642" w14:textId="77777777">
        <w:tc>
          <w:tcPr>
            <w:tcW w:w="828" w:type="dxa"/>
            <w:shd w:val="clear" w:color="auto" w:fill="auto"/>
          </w:tcPr>
          <w:p w14:paraId="050CA992" w14:textId="77777777" w:rsidR="007409E1" w:rsidRDefault="007409E1">
            <w:pPr>
              <w:pStyle w:val="ScheduleL1"/>
              <w:numPr>
                <w:ilvl w:val="0"/>
                <w:numId w:val="0"/>
              </w:numPr>
              <w:overflowPunct w:val="0"/>
              <w:autoSpaceDE w:val="0"/>
              <w:autoSpaceDN w:val="0"/>
              <w:spacing w:before="120" w:after="120"/>
              <w:textAlignment w:val="baseline"/>
            </w:pPr>
          </w:p>
        </w:tc>
        <w:tc>
          <w:tcPr>
            <w:tcW w:w="4140" w:type="dxa"/>
            <w:shd w:val="clear" w:color="auto" w:fill="auto"/>
          </w:tcPr>
          <w:p w14:paraId="51D20AD3" w14:textId="77777777" w:rsidR="007409E1" w:rsidRDefault="007409E1">
            <w:pPr>
              <w:pStyle w:val="Table-Text"/>
              <w:numPr>
                <w:ilvl w:val="0"/>
                <w:numId w:val="28"/>
              </w:numPr>
              <w:overflowPunct w:val="0"/>
              <w:autoSpaceDE w:val="0"/>
              <w:autoSpaceDN w:val="0"/>
              <w:ind w:left="1440" w:hanging="720"/>
              <w:textAlignment w:val="baseline"/>
            </w:pPr>
            <w:r>
              <w:t>Interest Determination Date(s):</w:t>
            </w:r>
          </w:p>
        </w:tc>
        <w:tc>
          <w:tcPr>
            <w:tcW w:w="4277" w:type="dxa"/>
            <w:shd w:val="clear" w:color="auto" w:fill="auto"/>
          </w:tcPr>
          <w:p w14:paraId="01F610C1" w14:textId="77777777" w:rsidR="007409E1" w:rsidRDefault="007409E1">
            <w:pPr>
              <w:pStyle w:val="Table-Text"/>
              <w:overflowPunct w:val="0"/>
              <w:autoSpaceDE w:val="0"/>
              <w:autoSpaceDN w:val="0"/>
              <w:jc w:val="both"/>
              <w:textAlignment w:val="baseline"/>
            </w:pPr>
            <w:r>
              <w:t>[</w:t>
            </w:r>
            <w:r>
              <w:rPr>
                <w:rFonts w:ascii="Wingdings" w:hAnsi="Wingdings"/>
              </w:rPr>
              <w:t></w:t>
            </w:r>
            <w:r>
              <w:rPr>
                <w:rFonts w:hint="eastAsia"/>
              </w:rPr>
              <w:t>                    </w:t>
            </w:r>
            <w:r>
              <w:t>]</w:t>
            </w:r>
          </w:p>
        </w:tc>
      </w:tr>
      <w:tr w:rsidR="007409E1" w14:paraId="63CE063F" w14:textId="77777777">
        <w:tc>
          <w:tcPr>
            <w:tcW w:w="828" w:type="dxa"/>
            <w:shd w:val="clear" w:color="auto" w:fill="auto"/>
          </w:tcPr>
          <w:p w14:paraId="4BDE9A05" w14:textId="77777777" w:rsidR="007409E1" w:rsidRDefault="007409E1">
            <w:pPr>
              <w:pStyle w:val="ScheduleL1"/>
              <w:numPr>
                <w:ilvl w:val="0"/>
                <w:numId w:val="0"/>
              </w:numPr>
              <w:overflowPunct w:val="0"/>
              <w:autoSpaceDE w:val="0"/>
              <w:autoSpaceDN w:val="0"/>
              <w:spacing w:before="120" w:after="120"/>
              <w:textAlignment w:val="baseline"/>
            </w:pPr>
          </w:p>
        </w:tc>
        <w:tc>
          <w:tcPr>
            <w:tcW w:w="4140" w:type="dxa"/>
            <w:shd w:val="clear" w:color="auto" w:fill="auto"/>
          </w:tcPr>
          <w:p w14:paraId="35C78CB5" w14:textId="77777777" w:rsidR="007409E1" w:rsidRDefault="007409E1">
            <w:pPr>
              <w:pStyle w:val="Table-Text"/>
              <w:numPr>
                <w:ilvl w:val="0"/>
                <w:numId w:val="28"/>
              </w:numPr>
              <w:overflowPunct w:val="0"/>
              <w:autoSpaceDE w:val="0"/>
              <w:autoSpaceDN w:val="0"/>
              <w:textAlignment w:val="baseline"/>
            </w:pPr>
            <w:r>
              <w:t>Relevant Screen Page:</w:t>
            </w:r>
          </w:p>
        </w:tc>
        <w:tc>
          <w:tcPr>
            <w:tcW w:w="4277" w:type="dxa"/>
            <w:shd w:val="clear" w:color="auto" w:fill="auto"/>
          </w:tcPr>
          <w:p w14:paraId="436DBBE5" w14:textId="77777777" w:rsidR="007409E1" w:rsidRDefault="007409E1">
            <w:pPr>
              <w:pStyle w:val="Table-Text"/>
              <w:overflowPunct w:val="0"/>
              <w:autoSpaceDE w:val="0"/>
              <w:autoSpaceDN w:val="0"/>
              <w:jc w:val="both"/>
              <w:textAlignment w:val="baseline"/>
            </w:pPr>
            <w:r>
              <w:t>[</w:t>
            </w:r>
            <w:r>
              <w:rPr>
                <w:rFonts w:ascii="Wingdings" w:hAnsi="Wingdings"/>
              </w:rPr>
              <w:t></w:t>
            </w:r>
            <w:r>
              <w:rPr>
                <w:rFonts w:hint="eastAsia"/>
              </w:rPr>
              <w:t>                    </w:t>
            </w:r>
            <w:r>
              <w:t>]</w:t>
            </w:r>
          </w:p>
        </w:tc>
      </w:tr>
      <w:tr w:rsidR="007409E1" w14:paraId="37358DB0" w14:textId="77777777">
        <w:tc>
          <w:tcPr>
            <w:tcW w:w="828" w:type="dxa"/>
            <w:shd w:val="clear" w:color="auto" w:fill="auto"/>
          </w:tcPr>
          <w:p w14:paraId="71D298B8" w14:textId="77777777" w:rsidR="007409E1" w:rsidRDefault="007409E1">
            <w:pPr>
              <w:pStyle w:val="ScheduleL1"/>
              <w:numPr>
                <w:ilvl w:val="0"/>
                <w:numId w:val="0"/>
              </w:numPr>
              <w:overflowPunct w:val="0"/>
              <w:autoSpaceDE w:val="0"/>
              <w:autoSpaceDN w:val="0"/>
              <w:spacing w:before="120" w:after="120"/>
              <w:textAlignment w:val="baseline"/>
            </w:pPr>
          </w:p>
        </w:tc>
        <w:tc>
          <w:tcPr>
            <w:tcW w:w="4140" w:type="dxa"/>
            <w:shd w:val="clear" w:color="auto" w:fill="auto"/>
          </w:tcPr>
          <w:p w14:paraId="3739B205" w14:textId="77777777" w:rsidR="007409E1" w:rsidRDefault="007409E1">
            <w:pPr>
              <w:pStyle w:val="Table-Text"/>
              <w:numPr>
                <w:ilvl w:val="0"/>
                <w:numId w:val="28"/>
              </w:numPr>
              <w:overflowPunct w:val="0"/>
              <w:autoSpaceDE w:val="0"/>
              <w:autoSpaceDN w:val="0"/>
              <w:textAlignment w:val="baseline"/>
            </w:pPr>
            <w:r>
              <w:t>Relevant Time:</w:t>
            </w:r>
          </w:p>
        </w:tc>
        <w:tc>
          <w:tcPr>
            <w:tcW w:w="4277" w:type="dxa"/>
            <w:shd w:val="clear" w:color="auto" w:fill="auto"/>
          </w:tcPr>
          <w:p w14:paraId="3B6F484D" w14:textId="77777777" w:rsidR="007409E1" w:rsidRDefault="007409E1">
            <w:pPr>
              <w:pStyle w:val="Table-Text"/>
              <w:overflowPunct w:val="0"/>
              <w:autoSpaceDE w:val="0"/>
              <w:autoSpaceDN w:val="0"/>
              <w:jc w:val="both"/>
              <w:textAlignment w:val="baseline"/>
            </w:pPr>
            <w:r>
              <w:t>[</w:t>
            </w:r>
            <w:r>
              <w:rPr>
                <w:rFonts w:ascii="Wingdings" w:hAnsi="Wingdings"/>
              </w:rPr>
              <w:t></w:t>
            </w:r>
            <w:r>
              <w:rPr>
                <w:rFonts w:hint="eastAsia"/>
              </w:rPr>
              <w:t>                    </w:t>
            </w:r>
            <w:r>
              <w:t>]</w:t>
            </w:r>
          </w:p>
        </w:tc>
      </w:tr>
      <w:tr w:rsidR="007409E1" w14:paraId="46012BBC" w14:textId="77777777">
        <w:tc>
          <w:tcPr>
            <w:tcW w:w="828" w:type="dxa"/>
            <w:shd w:val="clear" w:color="auto" w:fill="auto"/>
          </w:tcPr>
          <w:p w14:paraId="1C895901" w14:textId="77777777" w:rsidR="007409E1" w:rsidRDefault="007409E1">
            <w:pPr>
              <w:pStyle w:val="ScheduleL1"/>
              <w:numPr>
                <w:ilvl w:val="0"/>
                <w:numId w:val="0"/>
              </w:numPr>
              <w:overflowPunct w:val="0"/>
              <w:autoSpaceDE w:val="0"/>
              <w:autoSpaceDN w:val="0"/>
              <w:spacing w:before="120" w:after="120"/>
              <w:textAlignment w:val="baseline"/>
            </w:pPr>
          </w:p>
        </w:tc>
        <w:tc>
          <w:tcPr>
            <w:tcW w:w="4140" w:type="dxa"/>
            <w:shd w:val="clear" w:color="auto" w:fill="auto"/>
          </w:tcPr>
          <w:p w14:paraId="5C283A74" w14:textId="77777777" w:rsidR="007409E1" w:rsidRDefault="007409E1">
            <w:pPr>
              <w:pStyle w:val="Table-Text"/>
              <w:numPr>
                <w:ilvl w:val="0"/>
                <w:numId w:val="28"/>
              </w:numPr>
              <w:overflowPunct w:val="0"/>
              <w:autoSpaceDE w:val="0"/>
              <w:autoSpaceDN w:val="0"/>
              <w:textAlignment w:val="baseline"/>
            </w:pPr>
            <w:r>
              <w:t>Relevant Financial Centre:</w:t>
            </w:r>
          </w:p>
        </w:tc>
        <w:tc>
          <w:tcPr>
            <w:tcW w:w="4277" w:type="dxa"/>
            <w:shd w:val="clear" w:color="auto" w:fill="auto"/>
          </w:tcPr>
          <w:p w14:paraId="0E574BBC" w14:textId="77777777" w:rsidR="007409E1" w:rsidRDefault="007409E1">
            <w:pPr>
              <w:pStyle w:val="Table-Text"/>
              <w:overflowPunct w:val="0"/>
              <w:autoSpaceDE w:val="0"/>
              <w:autoSpaceDN w:val="0"/>
              <w:jc w:val="both"/>
              <w:textAlignment w:val="baseline"/>
            </w:pPr>
            <w:r>
              <w:t>[</w:t>
            </w:r>
            <w:r>
              <w:rPr>
                <w:rFonts w:ascii="Wingdings" w:hAnsi="Wingdings"/>
              </w:rPr>
              <w:t></w:t>
            </w:r>
            <w:r>
              <w:rPr>
                <w:rFonts w:hint="eastAsia"/>
              </w:rPr>
              <w:t>                    </w:t>
            </w:r>
            <w:r>
              <w:t>]</w:t>
            </w:r>
          </w:p>
        </w:tc>
      </w:tr>
      <w:tr w:rsidR="007409E1" w14:paraId="0111A343" w14:textId="77777777">
        <w:tc>
          <w:tcPr>
            <w:tcW w:w="828" w:type="dxa"/>
            <w:shd w:val="clear" w:color="auto" w:fill="auto"/>
          </w:tcPr>
          <w:p w14:paraId="35F7AD3B" w14:textId="77777777" w:rsidR="007409E1" w:rsidRDefault="007409E1">
            <w:pPr>
              <w:pStyle w:val="ScheduleL1"/>
              <w:numPr>
                <w:ilvl w:val="0"/>
                <w:numId w:val="0"/>
              </w:numPr>
              <w:overflowPunct w:val="0"/>
              <w:autoSpaceDE w:val="0"/>
              <w:autoSpaceDN w:val="0"/>
              <w:spacing w:before="120" w:after="120"/>
              <w:textAlignment w:val="baseline"/>
            </w:pPr>
          </w:p>
        </w:tc>
        <w:tc>
          <w:tcPr>
            <w:tcW w:w="4140" w:type="dxa"/>
            <w:shd w:val="clear" w:color="auto" w:fill="auto"/>
          </w:tcPr>
          <w:p w14:paraId="79BD736B" w14:textId="77777777" w:rsidR="007409E1" w:rsidRDefault="007409E1">
            <w:pPr>
              <w:pStyle w:val="Table-Text"/>
              <w:numPr>
                <w:ilvl w:val="0"/>
                <w:numId w:val="27"/>
              </w:numPr>
              <w:overflowPunct w:val="0"/>
              <w:autoSpaceDE w:val="0"/>
              <w:autoSpaceDN w:val="0"/>
              <w:ind w:left="612" w:hanging="612"/>
              <w:textAlignment w:val="baseline"/>
            </w:pPr>
            <w:r>
              <w:t>ISDA Determination:</w:t>
            </w:r>
          </w:p>
        </w:tc>
        <w:tc>
          <w:tcPr>
            <w:tcW w:w="4277" w:type="dxa"/>
            <w:shd w:val="clear" w:color="auto" w:fill="auto"/>
          </w:tcPr>
          <w:p w14:paraId="7401B88B" w14:textId="77777777" w:rsidR="007409E1" w:rsidRDefault="007409E1">
            <w:pPr>
              <w:pStyle w:val="Table-Text"/>
              <w:overflowPunct w:val="0"/>
              <w:autoSpaceDE w:val="0"/>
              <w:autoSpaceDN w:val="0"/>
              <w:jc w:val="both"/>
              <w:textAlignment w:val="baseline"/>
            </w:pPr>
          </w:p>
        </w:tc>
      </w:tr>
      <w:tr w:rsidR="007409E1" w14:paraId="15F9DDBC" w14:textId="77777777">
        <w:tc>
          <w:tcPr>
            <w:tcW w:w="828" w:type="dxa"/>
            <w:shd w:val="clear" w:color="auto" w:fill="auto"/>
          </w:tcPr>
          <w:p w14:paraId="1CB0F112" w14:textId="77777777" w:rsidR="007409E1" w:rsidRDefault="007409E1">
            <w:pPr>
              <w:pStyle w:val="ScheduleL1"/>
              <w:numPr>
                <w:ilvl w:val="0"/>
                <w:numId w:val="0"/>
              </w:numPr>
              <w:overflowPunct w:val="0"/>
              <w:autoSpaceDE w:val="0"/>
              <w:autoSpaceDN w:val="0"/>
              <w:spacing w:before="120" w:after="120"/>
              <w:textAlignment w:val="baseline"/>
            </w:pPr>
          </w:p>
        </w:tc>
        <w:tc>
          <w:tcPr>
            <w:tcW w:w="4140" w:type="dxa"/>
            <w:shd w:val="clear" w:color="auto" w:fill="auto"/>
          </w:tcPr>
          <w:p w14:paraId="4B1D0E11" w14:textId="77777777" w:rsidR="007409E1" w:rsidRDefault="007409E1">
            <w:pPr>
              <w:pStyle w:val="Table-Text"/>
              <w:numPr>
                <w:ilvl w:val="0"/>
                <w:numId w:val="28"/>
              </w:numPr>
              <w:overflowPunct w:val="0"/>
              <w:autoSpaceDE w:val="0"/>
              <w:autoSpaceDN w:val="0"/>
              <w:textAlignment w:val="baseline"/>
            </w:pPr>
            <w:r>
              <w:t>Floating Rate Option:</w:t>
            </w:r>
          </w:p>
        </w:tc>
        <w:tc>
          <w:tcPr>
            <w:tcW w:w="4277" w:type="dxa"/>
            <w:shd w:val="clear" w:color="auto" w:fill="auto"/>
          </w:tcPr>
          <w:p w14:paraId="34B16EF1" w14:textId="77777777" w:rsidR="007409E1" w:rsidRDefault="007409E1">
            <w:pPr>
              <w:pStyle w:val="Table-Text"/>
              <w:overflowPunct w:val="0"/>
              <w:autoSpaceDE w:val="0"/>
              <w:autoSpaceDN w:val="0"/>
              <w:jc w:val="both"/>
              <w:textAlignment w:val="baseline"/>
            </w:pPr>
            <w:r>
              <w:t>[</w:t>
            </w:r>
            <w:r>
              <w:rPr>
                <w:rFonts w:ascii="Wingdings" w:hAnsi="Wingdings"/>
              </w:rPr>
              <w:t></w:t>
            </w:r>
            <w:r>
              <w:rPr>
                <w:rFonts w:hint="eastAsia"/>
              </w:rPr>
              <w:t>                    </w:t>
            </w:r>
            <w:r>
              <w:t>]</w:t>
            </w:r>
          </w:p>
        </w:tc>
      </w:tr>
      <w:tr w:rsidR="007409E1" w14:paraId="75128537" w14:textId="77777777">
        <w:tc>
          <w:tcPr>
            <w:tcW w:w="828" w:type="dxa"/>
            <w:shd w:val="clear" w:color="auto" w:fill="auto"/>
          </w:tcPr>
          <w:p w14:paraId="2DBC2208" w14:textId="77777777" w:rsidR="007409E1" w:rsidRDefault="007409E1">
            <w:pPr>
              <w:pStyle w:val="ScheduleL1"/>
              <w:numPr>
                <w:ilvl w:val="0"/>
                <w:numId w:val="0"/>
              </w:numPr>
              <w:overflowPunct w:val="0"/>
              <w:autoSpaceDE w:val="0"/>
              <w:autoSpaceDN w:val="0"/>
              <w:spacing w:before="120" w:after="120"/>
              <w:textAlignment w:val="baseline"/>
            </w:pPr>
          </w:p>
        </w:tc>
        <w:tc>
          <w:tcPr>
            <w:tcW w:w="4140" w:type="dxa"/>
            <w:shd w:val="clear" w:color="auto" w:fill="auto"/>
          </w:tcPr>
          <w:p w14:paraId="2572513E" w14:textId="77777777" w:rsidR="007409E1" w:rsidRDefault="007409E1">
            <w:pPr>
              <w:pStyle w:val="Table-Text"/>
              <w:numPr>
                <w:ilvl w:val="0"/>
                <w:numId w:val="28"/>
              </w:numPr>
              <w:overflowPunct w:val="0"/>
              <w:autoSpaceDE w:val="0"/>
              <w:autoSpaceDN w:val="0"/>
              <w:textAlignment w:val="baseline"/>
            </w:pPr>
            <w:r>
              <w:t>Designated Maturity:</w:t>
            </w:r>
          </w:p>
        </w:tc>
        <w:tc>
          <w:tcPr>
            <w:tcW w:w="4277" w:type="dxa"/>
            <w:shd w:val="clear" w:color="auto" w:fill="auto"/>
          </w:tcPr>
          <w:p w14:paraId="2DA3842D" w14:textId="77777777" w:rsidR="007409E1" w:rsidRDefault="007409E1">
            <w:pPr>
              <w:pStyle w:val="Table-Text"/>
              <w:overflowPunct w:val="0"/>
              <w:autoSpaceDE w:val="0"/>
              <w:autoSpaceDN w:val="0"/>
              <w:jc w:val="both"/>
              <w:textAlignment w:val="baseline"/>
            </w:pPr>
            <w:r>
              <w:t>[</w:t>
            </w:r>
            <w:r>
              <w:rPr>
                <w:rFonts w:ascii="Wingdings" w:hAnsi="Wingdings"/>
              </w:rPr>
              <w:t></w:t>
            </w:r>
            <w:r>
              <w:rPr>
                <w:rFonts w:hint="eastAsia"/>
              </w:rPr>
              <w:t>                    </w:t>
            </w:r>
            <w:r>
              <w:t>]</w:t>
            </w:r>
          </w:p>
        </w:tc>
      </w:tr>
      <w:tr w:rsidR="007409E1" w14:paraId="4EB83E75" w14:textId="77777777">
        <w:tc>
          <w:tcPr>
            <w:tcW w:w="828" w:type="dxa"/>
            <w:shd w:val="clear" w:color="auto" w:fill="auto"/>
          </w:tcPr>
          <w:p w14:paraId="628D8B23" w14:textId="77777777" w:rsidR="007409E1" w:rsidRDefault="007409E1">
            <w:pPr>
              <w:pStyle w:val="ScheduleL1"/>
              <w:numPr>
                <w:ilvl w:val="0"/>
                <w:numId w:val="0"/>
              </w:numPr>
              <w:overflowPunct w:val="0"/>
              <w:autoSpaceDE w:val="0"/>
              <w:autoSpaceDN w:val="0"/>
              <w:spacing w:before="120" w:after="120"/>
              <w:textAlignment w:val="baseline"/>
            </w:pPr>
          </w:p>
        </w:tc>
        <w:tc>
          <w:tcPr>
            <w:tcW w:w="4140" w:type="dxa"/>
            <w:shd w:val="clear" w:color="auto" w:fill="auto"/>
          </w:tcPr>
          <w:p w14:paraId="6B1F96CD" w14:textId="77777777" w:rsidR="007409E1" w:rsidRDefault="007409E1">
            <w:pPr>
              <w:pStyle w:val="Table-Text"/>
              <w:numPr>
                <w:ilvl w:val="0"/>
                <w:numId w:val="28"/>
              </w:numPr>
              <w:overflowPunct w:val="0"/>
              <w:autoSpaceDE w:val="0"/>
              <w:autoSpaceDN w:val="0"/>
              <w:textAlignment w:val="baseline"/>
            </w:pPr>
            <w:r>
              <w:t>Reset Date:</w:t>
            </w:r>
          </w:p>
        </w:tc>
        <w:tc>
          <w:tcPr>
            <w:tcW w:w="4277" w:type="dxa"/>
            <w:shd w:val="clear" w:color="auto" w:fill="auto"/>
          </w:tcPr>
          <w:p w14:paraId="35E9358D" w14:textId="77777777" w:rsidR="007409E1" w:rsidRDefault="007409E1">
            <w:pPr>
              <w:pStyle w:val="Table-Text"/>
              <w:overflowPunct w:val="0"/>
              <w:autoSpaceDE w:val="0"/>
              <w:autoSpaceDN w:val="0"/>
              <w:jc w:val="both"/>
              <w:textAlignment w:val="baseline"/>
            </w:pPr>
            <w:r>
              <w:t>[</w:t>
            </w:r>
            <w:r>
              <w:rPr>
                <w:rFonts w:ascii="Wingdings" w:hAnsi="Wingdings"/>
              </w:rPr>
              <w:t></w:t>
            </w:r>
            <w:r>
              <w:rPr>
                <w:rFonts w:hint="eastAsia"/>
              </w:rPr>
              <w:t>                    </w:t>
            </w:r>
            <w:r>
              <w:t>]</w:t>
            </w:r>
          </w:p>
        </w:tc>
      </w:tr>
      <w:tr w:rsidR="007409E1" w14:paraId="6302B391" w14:textId="77777777">
        <w:tc>
          <w:tcPr>
            <w:tcW w:w="828" w:type="dxa"/>
            <w:shd w:val="clear" w:color="auto" w:fill="auto"/>
          </w:tcPr>
          <w:p w14:paraId="0D40FF59" w14:textId="77777777" w:rsidR="007409E1" w:rsidRDefault="007409E1">
            <w:pPr>
              <w:pStyle w:val="ScheduleL1"/>
              <w:numPr>
                <w:ilvl w:val="0"/>
                <w:numId w:val="0"/>
              </w:numPr>
              <w:overflowPunct w:val="0"/>
              <w:autoSpaceDE w:val="0"/>
              <w:autoSpaceDN w:val="0"/>
              <w:spacing w:before="120" w:after="120"/>
              <w:textAlignment w:val="baseline"/>
            </w:pPr>
          </w:p>
        </w:tc>
        <w:tc>
          <w:tcPr>
            <w:tcW w:w="4140" w:type="dxa"/>
            <w:shd w:val="clear" w:color="auto" w:fill="auto"/>
          </w:tcPr>
          <w:p w14:paraId="1190C1F1" w14:textId="77777777" w:rsidR="007409E1" w:rsidRDefault="007409E1">
            <w:pPr>
              <w:pStyle w:val="Table-Text"/>
              <w:numPr>
                <w:ilvl w:val="0"/>
                <w:numId w:val="27"/>
              </w:numPr>
              <w:overflowPunct w:val="0"/>
              <w:autoSpaceDE w:val="0"/>
              <w:autoSpaceDN w:val="0"/>
              <w:ind w:left="612" w:hanging="612"/>
              <w:textAlignment w:val="baseline"/>
            </w:pPr>
            <w:r>
              <w:t>Linear Interpolation:</w:t>
            </w:r>
          </w:p>
        </w:tc>
        <w:tc>
          <w:tcPr>
            <w:tcW w:w="4277" w:type="dxa"/>
            <w:shd w:val="clear" w:color="auto" w:fill="auto"/>
          </w:tcPr>
          <w:p w14:paraId="796CEE66" w14:textId="77777777" w:rsidR="007409E1" w:rsidRDefault="007409E1">
            <w:pPr>
              <w:pStyle w:val="Table-Text"/>
              <w:overflowPunct w:val="0"/>
              <w:autoSpaceDE w:val="0"/>
              <w:autoSpaceDN w:val="0"/>
              <w:jc w:val="both"/>
              <w:textAlignment w:val="baseline"/>
            </w:pPr>
            <w:r>
              <w:t>[Not Applicable / Applicable — the Rate of Interest for the [long/short] [first/last] Interest Period shall be calculated using Linear Interpolation (</w:t>
            </w:r>
            <w:r>
              <w:rPr>
                <w:i/>
              </w:rPr>
              <w:t>specify for each short or long interest period</w:t>
            </w:r>
            <w:r>
              <w:t>)]</w:t>
            </w:r>
          </w:p>
        </w:tc>
      </w:tr>
      <w:tr w:rsidR="007409E1" w14:paraId="4314D3F6" w14:textId="77777777">
        <w:tc>
          <w:tcPr>
            <w:tcW w:w="828" w:type="dxa"/>
            <w:shd w:val="clear" w:color="auto" w:fill="auto"/>
          </w:tcPr>
          <w:p w14:paraId="79AFACE5" w14:textId="77777777" w:rsidR="007409E1" w:rsidRDefault="007409E1">
            <w:pPr>
              <w:pStyle w:val="ScheduleL1"/>
              <w:numPr>
                <w:ilvl w:val="0"/>
                <w:numId w:val="0"/>
              </w:numPr>
              <w:overflowPunct w:val="0"/>
              <w:autoSpaceDE w:val="0"/>
              <w:autoSpaceDN w:val="0"/>
              <w:spacing w:before="120" w:after="120"/>
              <w:textAlignment w:val="baseline"/>
            </w:pPr>
          </w:p>
        </w:tc>
        <w:tc>
          <w:tcPr>
            <w:tcW w:w="4140" w:type="dxa"/>
            <w:shd w:val="clear" w:color="auto" w:fill="auto"/>
          </w:tcPr>
          <w:p w14:paraId="6388CA9F" w14:textId="77777777" w:rsidR="007409E1" w:rsidRDefault="007409E1">
            <w:pPr>
              <w:pStyle w:val="Table-Text"/>
              <w:numPr>
                <w:ilvl w:val="0"/>
                <w:numId w:val="27"/>
              </w:numPr>
              <w:overflowPunct w:val="0"/>
              <w:autoSpaceDE w:val="0"/>
              <w:autoSpaceDN w:val="0"/>
              <w:ind w:left="612" w:hanging="612"/>
              <w:textAlignment w:val="baseline"/>
            </w:pPr>
            <w:r>
              <w:t>Margin(s):</w:t>
            </w:r>
          </w:p>
        </w:tc>
        <w:tc>
          <w:tcPr>
            <w:tcW w:w="4277" w:type="dxa"/>
            <w:shd w:val="clear" w:color="auto" w:fill="auto"/>
          </w:tcPr>
          <w:p w14:paraId="11D2124D" w14:textId="77777777" w:rsidR="007409E1" w:rsidRDefault="007409E1">
            <w:pPr>
              <w:pStyle w:val="Table-Text"/>
              <w:overflowPunct w:val="0"/>
              <w:autoSpaceDE w:val="0"/>
              <w:autoSpaceDN w:val="0"/>
              <w:jc w:val="both"/>
              <w:textAlignment w:val="baseline"/>
            </w:pPr>
            <w:r>
              <w:t>[+/-][</w:t>
            </w:r>
            <w:r>
              <w:rPr>
                <w:rFonts w:ascii="Wingdings" w:hAnsi="Wingdings"/>
              </w:rPr>
              <w:t></w:t>
            </w:r>
            <w:r>
              <w:t>] per cent per annum</w:t>
            </w:r>
          </w:p>
        </w:tc>
      </w:tr>
      <w:tr w:rsidR="007409E1" w14:paraId="0356E736" w14:textId="77777777">
        <w:tc>
          <w:tcPr>
            <w:tcW w:w="828" w:type="dxa"/>
            <w:shd w:val="clear" w:color="auto" w:fill="auto"/>
          </w:tcPr>
          <w:p w14:paraId="111462DB" w14:textId="77777777" w:rsidR="007409E1" w:rsidRDefault="007409E1">
            <w:pPr>
              <w:pStyle w:val="ScheduleL1"/>
              <w:numPr>
                <w:ilvl w:val="0"/>
                <w:numId w:val="0"/>
              </w:numPr>
              <w:overflowPunct w:val="0"/>
              <w:autoSpaceDE w:val="0"/>
              <w:autoSpaceDN w:val="0"/>
              <w:spacing w:before="120" w:after="120"/>
              <w:textAlignment w:val="baseline"/>
            </w:pPr>
          </w:p>
        </w:tc>
        <w:tc>
          <w:tcPr>
            <w:tcW w:w="4140" w:type="dxa"/>
            <w:shd w:val="clear" w:color="auto" w:fill="auto"/>
          </w:tcPr>
          <w:p w14:paraId="562120E8" w14:textId="77777777" w:rsidR="007409E1" w:rsidRDefault="007409E1">
            <w:pPr>
              <w:pStyle w:val="Table-Text"/>
              <w:numPr>
                <w:ilvl w:val="0"/>
                <w:numId w:val="27"/>
              </w:numPr>
              <w:overflowPunct w:val="0"/>
              <w:autoSpaceDE w:val="0"/>
              <w:autoSpaceDN w:val="0"/>
              <w:ind w:left="612" w:hanging="612"/>
              <w:textAlignment w:val="baseline"/>
            </w:pPr>
            <w:r>
              <w:t>Minimum Rate of Interest:</w:t>
            </w:r>
          </w:p>
        </w:tc>
        <w:tc>
          <w:tcPr>
            <w:tcW w:w="4277" w:type="dxa"/>
            <w:shd w:val="clear" w:color="auto" w:fill="auto"/>
          </w:tcPr>
          <w:p w14:paraId="4FF84AB5" w14:textId="77777777" w:rsidR="007409E1" w:rsidRDefault="007409E1">
            <w:pPr>
              <w:pStyle w:val="Table-Text"/>
              <w:overflowPunct w:val="0"/>
              <w:autoSpaceDE w:val="0"/>
              <w:autoSpaceDN w:val="0"/>
              <w:jc w:val="both"/>
              <w:textAlignment w:val="baseline"/>
            </w:pPr>
            <w:r>
              <w:t>[</w:t>
            </w:r>
            <w:r>
              <w:rPr>
                <w:rFonts w:ascii="Wingdings" w:hAnsi="Wingdings"/>
              </w:rPr>
              <w:t></w:t>
            </w:r>
            <w:r>
              <w:t>] per cent per annum</w:t>
            </w:r>
          </w:p>
        </w:tc>
      </w:tr>
      <w:tr w:rsidR="007409E1" w14:paraId="4EFA23FC" w14:textId="77777777">
        <w:tc>
          <w:tcPr>
            <w:tcW w:w="828" w:type="dxa"/>
            <w:shd w:val="clear" w:color="auto" w:fill="auto"/>
          </w:tcPr>
          <w:p w14:paraId="37F0B3D9" w14:textId="77777777" w:rsidR="007409E1" w:rsidRDefault="007409E1">
            <w:pPr>
              <w:pStyle w:val="ScheduleL1"/>
              <w:numPr>
                <w:ilvl w:val="0"/>
                <w:numId w:val="0"/>
              </w:numPr>
              <w:overflowPunct w:val="0"/>
              <w:autoSpaceDE w:val="0"/>
              <w:autoSpaceDN w:val="0"/>
              <w:spacing w:before="120" w:after="120"/>
              <w:textAlignment w:val="baseline"/>
            </w:pPr>
          </w:p>
        </w:tc>
        <w:tc>
          <w:tcPr>
            <w:tcW w:w="4140" w:type="dxa"/>
            <w:shd w:val="clear" w:color="auto" w:fill="auto"/>
          </w:tcPr>
          <w:p w14:paraId="28304C46" w14:textId="77777777" w:rsidR="007409E1" w:rsidRDefault="007409E1">
            <w:pPr>
              <w:pStyle w:val="Table-Text"/>
              <w:numPr>
                <w:ilvl w:val="0"/>
                <w:numId w:val="27"/>
              </w:numPr>
              <w:overflowPunct w:val="0"/>
              <w:autoSpaceDE w:val="0"/>
              <w:autoSpaceDN w:val="0"/>
              <w:ind w:left="612" w:hanging="612"/>
              <w:textAlignment w:val="baseline"/>
            </w:pPr>
            <w:r>
              <w:t>Maximum Rate of Interest:</w:t>
            </w:r>
          </w:p>
        </w:tc>
        <w:tc>
          <w:tcPr>
            <w:tcW w:w="4277" w:type="dxa"/>
            <w:shd w:val="clear" w:color="auto" w:fill="auto"/>
          </w:tcPr>
          <w:p w14:paraId="5FEAD4FF" w14:textId="77777777" w:rsidR="007409E1" w:rsidRDefault="007409E1">
            <w:pPr>
              <w:pStyle w:val="Table-Text"/>
              <w:overflowPunct w:val="0"/>
              <w:autoSpaceDE w:val="0"/>
              <w:autoSpaceDN w:val="0"/>
              <w:jc w:val="both"/>
              <w:textAlignment w:val="baseline"/>
            </w:pPr>
            <w:r>
              <w:t>[</w:t>
            </w:r>
            <w:r>
              <w:rPr>
                <w:rFonts w:ascii="Wingdings" w:hAnsi="Wingdings"/>
              </w:rPr>
              <w:t></w:t>
            </w:r>
            <w:r>
              <w:t>] per cent per annum</w:t>
            </w:r>
          </w:p>
        </w:tc>
      </w:tr>
      <w:tr w:rsidR="007409E1" w14:paraId="510A41AE" w14:textId="77777777">
        <w:tc>
          <w:tcPr>
            <w:tcW w:w="828" w:type="dxa"/>
            <w:shd w:val="clear" w:color="auto" w:fill="auto"/>
          </w:tcPr>
          <w:p w14:paraId="6D436338" w14:textId="77777777" w:rsidR="007409E1" w:rsidRDefault="007409E1">
            <w:pPr>
              <w:pStyle w:val="ScheduleL1"/>
              <w:numPr>
                <w:ilvl w:val="3"/>
                <w:numId w:val="19"/>
              </w:numPr>
              <w:overflowPunct w:val="0"/>
              <w:autoSpaceDE w:val="0"/>
              <w:autoSpaceDN w:val="0"/>
              <w:spacing w:before="120" w:after="120"/>
              <w:textAlignment w:val="baseline"/>
            </w:pPr>
          </w:p>
        </w:tc>
        <w:tc>
          <w:tcPr>
            <w:tcW w:w="4140" w:type="dxa"/>
            <w:shd w:val="clear" w:color="auto" w:fill="auto"/>
          </w:tcPr>
          <w:p w14:paraId="4D425208" w14:textId="77777777" w:rsidR="007409E1" w:rsidRDefault="007409E1">
            <w:pPr>
              <w:pStyle w:val="Table-Text"/>
              <w:numPr>
                <w:ilvl w:val="0"/>
                <w:numId w:val="27"/>
              </w:numPr>
              <w:overflowPunct w:val="0"/>
              <w:autoSpaceDE w:val="0"/>
              <w:autoSpaceDN w:val="0"/>
              <w:ind w:left="612" w:hanging="612"/>
              <w:textAlignment w:val="baseline"/>
            </w:pPr>
            <w:r>
              <w:t>Day Count Fraction:</w:t>
            </w:r>
          </w:p>
        </w:tc>
        <w:tc>
          <w:tcPr>
            <w:tcW w:w="4277" w:type="dxa"/>
            <w:shd w:val="clear" w:color="auto" w:fill="auto"/>
          </w:tcPr>
          <w:p w14:paraId="0451CBF6" w14:textId="77777777" w:rsidR="007409E1" w:rsidRDefault="007409E1">
            <w:pPr>
              <w:pStyle w:val="Table-Text"/>
              <w:overflowPunct w:val="0"/>
              <w:autoSpaceDE w:val="0"/>
              <w:autoSpaceDN w:val="0"/>
              <w:jc w:val="both"/>
              <w:textAlignment w:val="baseline"/>
              <w:rPr>
                <w:lang w:val="es-ES"/>
              </w:rPr>
            </w:pPr>
            <w:r>
              <w:rPr>
                <w:lang w:val="es-ES"/>
              </w:rPr>
              <w:t>[Actual/Actual (ICMA) / Actual/Actual (ISDA) / Actual/365 (Fixed) / Actual/360 / 30/360 /30E/360 / 30E/360 (ISDA)]</w:t>
            </w:r>
          </w:p>
        </w:tc>
      </w:tr>
      <w:tr w:rsidR="007409E1" w14:paraId="740B8821" w14:textId="77777777">
        <w:tc>
          <w:tcPr>
            <w:tcW w:w="9245" w:type="dxa"/>
            <w:gridSpan w:val="3"/>
            <w:shd w:val="clear" w:color="auto" w:fill="auto"/>
          </w:tcPr>
          <w:p w14:paraId="11869B96" w14:textId="77777777" w:rsidR="007409E1" w:rsidRDefault="007409E1">
            <w:pPr>
              <w:pStyle w:val="Table-Text"/>
              <w:keepNext/>
              <w:overflowPunct w:val="0"/>
              <w:autoSpaceDE w:val="0"/>
              <w:autoSpaceDN w:val="0"/>
              <w:jc w:val="both"/>
              <w:textAlignment w:val="baseline"/>
              <w:rPr>
                <w:b/>
              </w:rPr>
            </w:pPr>
            <w:r>
              <w:rPr>
                <w:b/>
              </w:rPr>
              <w:t>Provisions relating to Redemption</w:t>
            </w:r>
          </w:p>
        </w:tc>
      </w:tr>
      <w:tr w:rsidR="007409E1" w14:paraId="21E3C0E9" w14:textId="77777777">
        <w:tc>
          <w:tcPr>
            <w:tcW w:w="828" w:type="dxa"/>
            <w:shd w:val="clear" w:color="auto" w:fill="auto"/>
          </w:tcPr>
          <w:p w14:paraId="7972547E" w14:textId="77777777" w:rsidR="007409E1" w:rsidRDefault="007409E1">
            <w:pPr>
              <w:pStyle w:val="ScheduleL1"/>
              <w:overflowPunct w:val="0"/>
              <w:autoSpaceDE w:val="0"/>
              <w:autoSpaceDN w:val="0"/>
              <w:spacing w:before="120" w:after="120"/>
              <w:textAlignment w:val="baseline"/>
            </w:pPr>
          </w:p>
        </w:tc>
        <w:tc>
          <w:tcPr>
            <w:tcW w:w="4140" w:type="dxa"/>
            <w:shd w:val="clear" w:color="auto" w:fill="auto"/>
          </w:tcPr>
          <w:p w14:paraId="32206561" w14:textId="77777777" w:rsidR="007409E1" w:rsidRDefault="007409E1">
            <w:pPr>
              <w:pStyle w:val="Table-Text"/>
              <w:overflowPunct w:val="0"/>
              <w:autoSpaceDE w:val="0"/>
              <w:autoSpaceDN w:val="0"/>
              <w:textAlignment w:val="baseline"/>
            </w:pPr>
            <w:r>
              <w:t>Call Option</w:t>
            </w:r>
          </w:p>
        </w:tc>
        <w:tc>
          <w:tcPr>
            <w:tcW w:w="4277" w:type="dxa"/>
            <w:shd w:val="clear" w:color="auto" w:fill="auto"/>
          </w:tcPr>
          <w:p w14:paraId="1FDDFA9B" w14:textId="77777777" w:rsidR="007409E1" w:rsidRDefault="007409E1">
            <w:pPr>
              <w:pStyle w:val="Table-Text"/>
              <w:overflowPunct w:val="0"/>
              <w:autoSpaceDE w:val="0"/>
              <w:autoSpaceDN w:val="0"/>
              <w:jc w:val="both"/>
              <w:textAlignment w:val="baseline"/>
            </w:pPr>
            <w:r>
              <w:t>[Applicable/Not Applicable]</w:t>
            </w:r>
          </w:p>
        </w:tc>
      </w:tr>
      <w:tr w:rsidR="007409E1" w14:paraId="067A5F56" w14:textId="77777777">
        <w:tc>
          <w:tcPr>
            <w:tcW w:w="828" w:type="dxa"/>
            <w:shd w:val="clear" w:color="auto" w:fill="auto"/>
          </w:tcPr>
          <w:p w14:paraId="396C71C1" w14:textId="77777777" w:rsidR="007409E1" w:rsidRDefault="007409E1">
            <w:pPr>
              <w:pStyle w:val="ScheduleL1"/>
              <w:numPr>
                <w:ilvl w:val="0"/>
                <w:numId w:val="0"/>
              </w:numPr>
              <w:overflowPunct w:val="0"/>
              <w:autoSpaceDE w:val="0"/>
              <w:autoSpaceDN w:val="0"/>
              <w:spacing w:before="120" w:after="120"/>
              <w:textAlignment w:val="baseline"/>
            </w:pPr>
          </w:p>
        </w:tc>
        <w:tc>
          <w:tcPr>
            <w:tcW w:w="4140" w:type="dxa"/>
            <w:shd w:val="clear" w:color="auto" w:fill="auto"/>
          </w:tcPr>
          <w:p w14:paraId="1054BB0E" w14:textId="77777777" w:rsidR="007409E1" w:rsidRDefault="007409E1">
            <w:pPr>
              <w:pStyle w:val="Table-Text"/>
              <w:numPr>
                <w:ilvl w:val="0"/>
                <w:numId w:val="29"/>
              </w:numPr>
              <w:tabs>
                <w:tab w:val="clear" w:pos="648"/>
                <w:tab w:val="num" w:pos="612"/>
              </w:tabs>
              <w:overflowPunct w:val="0"/>
              <w:autoSpaceDE w:val="0"/>
              <w:autoSpaceDN w:val="0"/>
              <w:ind w:left="612" w:hanging="612"/>
              <w:textAlignment w:val="baseline"/>
            </w:pPr>
            <w:r>
              <w:t>Optional Redemption Date(s):</w:t>
            </w:r>
          </w:p>
        </w:tc>
        <w:tc>
          <w:tcPr>
            <w:tcW w:w="4277" w:type="dxa"/>
            <w:shd w:val="clear" w:color="auto" w:fill="auto"/>
          </w:tcPr>
          <w:p w14:paraId="1D98B592" w14:textId="77777777" w:rsidR="007409E1" w:rsidRDefault="007409E1">
            <w:pPr>
              <w:pStyle w:val="Table-Text"/>
              <w:overflowPunct w:val="0"/>
              <w:autoSpaceDE w:val="0"/>
              <w:autoSpaceDN w:val="0"/>
              <w:jc w:val="both"/>
              <w:textAlignment w:val="baseline"/>
            </w:pPr>
            <w:r>
              <w:t>[</w:t>
            </w:r>
            <w:r>
              <w:rPr>
                <w:rFonts w:ascii="Wingdings" w:hAnsi="Wingdings"/>
              </w:rPr>
              <w:t></w:t>
            </w:r>
            <w:r>
              <w:rPr>
                <w:rFonts w:hint="eastAsia"/>
              </w:rPr>
              <w:t>                    </w:t>
            </w:r>
            <w:r>
              <w:t>]</w:t>
            </w:r>
          </w:p>
        </w:tc>
      </w:tr>
      <w:tr w:rsidR="007409E1" w14:paraId="596A70CD" w14:textId="77777777">
        <w:tc>
          <w:tcPr>
            <w:tcW w:w="828" w:type="dxa"/>
            <w:shd w:val="clear" w:color="auto" w:fill="auto"/>
          </w:tcPr>
          <w:p w14:paraId="1FA809B0" w14:textId="77777777" w:rsidR="007409E1" w:rsidRDefault="007409E1">
            <w:pPr>
              <w:pStyle w:val="ScheduleL1"/>
              <w:numPr>
                <w:ilvl w:val="0"/>
                <w:numId w:val="0"/>
              </w:numPr>
              <w:overflowPunct w:val="0"/>
              <w:autoSpaceDE w:val="0"/>
              <w:autoSpaceDN w:val="0"/>
              <w:spacing w:before="120" w:after="120"/>
              <w:textAlignment w:val="baseline"/>
            </w:pPr>
          </w:p>
        </w:tc>
        <w:tc>
          <w:tcPr>
            <w:tcW w:w="4140" w:type="dxa"/>
            <w:shd w:val="clear" w:color="auto" w:fill="auto"/>
          </w:tcPr>
          <w:p w14:paraId="0C885532" w14:textId="77777777" w:rsidR="007409E1" w:rsidRDefault="007409E1">
            <w:pPr>
              <w:pStyle w:val="Table-Text"/>
              <w:numPr>
                <w:ilvl w:val="0"/>
                <w:numId w:val="29"/>
              </w:numPr>
              <w:overflowPunct w:val="0"/>
              <w:autoSpaceDE w:val="0"/>
              <w:autoSpaceDN w:val="0"/>
              <w:ind w:left="612" w:hanging="612"/>
              <w:textAlignment w:val="baseline"/>
            </w:pPr>
            <w:r>
              <w:t>Optional Redemption Amount(s) of each Note:</w:t>
            </w:r>
          </w:p>
        </w:tc>
        <w:tc>
          <w:tcPr>
            <w:tcW w:w="4277" w:type="dxa"/>
            <w:shd w:val="clear" w:color="auto" w:fill="auto"/>
          </w:tcPr>
          <w:p w14:paraId="653911BD" w14:textId="77777777" w:rsidR="007409E1" w:rsidRDefault="007409E1">
            <w:pPr>
              <w:pStyle w:val="Table-Text"/>
              <w:overflowPunct w:val="0"/>
              <w:autoSpaceDE w:val="0"/>
              <w:autoSpaceDN w:val="0"/>
              <w:jc w:val="both"/>
              <w:textAlignment w:val="baseline"/>
            </w:pPr>
            <w:r>
              <w:t>[</w:t>
            </w:r>
            <w:r>
              <w:rPr>
                <w:rFonts w:ascii="Wingdings" w:hAnsi="Wingdings"/>
              </w:rPr>
              <w:t></w:t>
            </w:r>
            <w:r>
              <w:rPr>
                <w:rFonts w:hint="eastAsia"/>
              </w:rPr>
              <w:t>                    </w:t>
            </w:r>
            <w:r>
              <w:t>] per Calculation Amount</w:t>
            </w:r>
          </w:p>
        </w:tc>
      </w:tr>
      <w:tr w:rsidR="007409E1" w14:paraId="678F83F4" w14:textId="77777777">
        <w:tc>
          <w:tcPr>
            <w:tcW w:w="828" w:type="dxa"/>
            <w:shd w:val="clear" w:color="auto" w:fill="auto"/>
          </w:tcPr>
          <w:p w14:paraId="63764CF3" w14:textId="77777777" w:rsidR="007409E1" w:rsidRDefault="007409E1">
            <w:pPr>
              <w:pStyle w:val="ScheduleL1"/>
              <w:numPr>
                <w:ilvl w:val="0"/>
                <w:numId w:val="0"/>
              </w:numPr>
              <w:overflowPunct w:val="0"/>
              <w:autoSpaceDE w:val="0"/>
              <w:autoSpaceDN w:val="0"/>
              <w:spacing w:before="120" w:after="120"/>
              <w:textAlignment w:val="baseline"/>
            </w:pPr>
          </w:p>
        </w:tc>
        <w:tc>
          <w:tcPr>
            <w:tcW w:w="4140" w:type="dxa"/>
            <w:shd w:val="clear" w:color="auto" w:fill="auto"/>
          </w:tcPr>
          <w:p w14:paraId="4C72F65F" w14:textId="77777777" w:rsidR="007409E1" w:rsidRDefault="007409E1">
            <w:pPr>
              <w:pStyle w:val="Table-Text"/>
              <w:numPr>
                <w:ilvl w:val="0"/>
                <w:numId w:val="29"/>
              </w:numPr>
              <w:overflowPunct w:val="0"/>
              <w:autoSpaceDE w:val="0"/>
              <w:autoSpaceDN w:val="0"/>
              <w:ind w:left="612" w:hanging="612"/>
              <w:textAlignment w:val="baseline"/>
            </w:pPr>
            <w:r>
              <w:t>If redeemable in part:</w:t>
            </w:r>
          </w:p>
        </w:tc>
        <w:tc>
          <w:tcPr>
            <w:tcW w:w="4277" w:type="dxa"/>
            <w:shd w:val="clear" w:color="auto" w:fill="auto"/>
          </w:tcPr>
          <w:p w14:paraId="71626A28" w14:textId="77777777" w:rsidR="007409E1" w:rsidRDefault="007409E1">
            <w:pPr>
              <w:pStyle w:val="Table-Text"/>
              <w:overflowPunct w:val="0"/>
              <w:autoSpaceDE w:val="0"/>
              <w:autoSpaceDN w:val="0"/>
              <w:jc w:val="both"/>
              <w:textAlignment w:val="baseline"/>
            </w:pPr>
          </w:p>
        </w:tc>
      </w:tr>
      <w:tr w:rsidR="007409E1" w14:paraId="2264D975" w14:textId="77777777">
        <w:tc>
          <w:tcPr>
            <w:tcW w:w="828" w:type="dxa"/>
            <w:shd w:val="clear" w:color="auto" w:fill="auto"/>
          </w:tcPr>
          <w:p w14:paraId="07C61890" w14:textId="77777777" w:rsidR="007409E1" w:rsidRDefault="007409E1">
            <w:pPr>
              <w:pStyle w:val="ScheduleL1"/>
              <w:numPr>
                <w:ilvl w:val="0"/>
                <w:numId w:val="0"/>
              </w:numPr>
              <w:overflowPunct w:val="0"/>
              <w:autoSpaceDE w:val="0"/>
              <w:autoSpaceDN w:val="0"/>
              <w:spacing w:before="120" w:after="120"/>
              <w:textAlignment w:val="baseline"/>
            </w:pPr>
          </w:p>
        </w:tc>
        <w:tc>
          <w:tcPr>
            <w:tcW w:w="4140" w:type="dxa"/>
            <w:shd w:val="clear" w:color="auto" w:fill="auto"/>
          </w:tcPr>
          <w:p w14:paraId="55A8F586" w14:textId="77777777" w:rsidR="007409E1" w:rsidRDefault="007409E1">
            <w:pPr>
              <w:pStyle w:val="Table-Text"/>
              <w:overflowPunct w:val="0"/>
              <w:autoSpaceDE w:val="0"/>
              <w:autoSpaceDN w:val="0"/>
              <w:ind w:left="1440" w:hanging="720"/>
              <w:textAlignment w:val="baseline"/>
            </w:pPr>
            <w:r>
              <w:t>(a)</w:t>
            </w:r>
            <w:r>
              <w:tab/>
              <w:t>Minimum Redemption Amount:</w:t>
            </w:r>
          </w:p>
        </w:tc>
        <w:tc>
          <w:tcPr>
            <w:tcW w:w="4277" w:type="dxa"/>
            <w:shd w:val="clear" w:color="auto" w:fill="auto"/>
          </w:tcPr>
          <w:p w14:paraId="4DDFEBC6" w14:textId="77777777" w:rsidR="007409E1" w:rsidRDefault="007409E1">
            <w:pPr>
              <w:pStyle w:val="Table-Text"/>
              <w:overflowPunct w:val="0"/>
              <w:autoSpaceDE w:val="0"/>
              <w:autoSpaceDN w:val="0"/>
              <w:jc w:val="both"/>
              <w:textAlignment w:val="baseline"/>
            </w:pPr>
            <w:r>
              <w:t>[</w:t>
            </w:r>
            <w:r>
              <w:rPr>
                <w:rFonts w:ascii="Wingdings" w:hAnsi="Wingdings"/>
              </w:rPr>
              <w:t></w:t>
            </w:r>
            <w:r>
              <w:rPr>
                <w:rFonts w:hint="eastAsia"/>
              </w:rPr>
              <w:t>                    </w:t>
            </w:r>
            <w:r>
              <w:t>] per Calculation Amount</w:t>
            </w:r>
          </w:p>
        </w:tc>
      </w:tr>
      <w:tr w:rsidR="007409E1" w14:paraId="56FF4DCF" w14:textId="77777777">
        <w:tc>
          <w:tcPr>
            <w:tcW w:w="828" w:type="dxa"/>
            <w:shd w:val="clear" w:color="auto" w:fill="auto"/>
          </w:tcPr>
          <w:p w14:paraId="11F71EC5" w14:textId="77777777" w:rsidR="007409E1" w:rsidRDefault="007409E1">
            <w:pPr>
              <w:pStyle w:val="ScheduleL1"/>
              <w:numPr>
                <w:ilvl w:val="0"/>
                <w:numId w:val="30"/>
              </w:numPr>
              <w:overflowPunct w:val="0"/>
              <w:autoSpaceDE w:val="0"/>
              <w:autoSpaceDN w:val="0"/>
              <w:spacing w:before="120" w:after="120"/>
              <w:textAlignment w:val="baseline"/>
            </w:pPr>
          </w:p>
        </w:tc>
        <w:tc>
          <w:tcPr>
            <w:tcW w:w="4140" w:type="dxa"/>
            <w:shd w:val="clear" w:color="auto" w:fill="auto"/>
          </w:tcPr>
          <w:p w14:paraId="5064270F" w14:textId="77777777" w:rsidR="007409E1" w:rsidRDefault="007409E1">
            <w:pPr>
              <w:pStyle w:val="Table-Text"/>
              <w:overflowPunct w:val="0"/>
              <w:autoSpaceDE w:val="0"/>
              <w:autoSpaceDN w:val="0"/>
              <w:ind w:left="1440" w:hanging="720"/>
              <w:textAlignment w:val="baseline"/>
            </w:pPr>
            <w:r>
              <w:t>(b)</w:t>
            </w:r>
            <w:r>
              <w:tab/>
              <w:t>Maximum Redemption Amount:</w:t>
            </w:r>
          </w:p>
        </w:tc>
        <w:tc>
          <w:tcPr>
            <w:tcW w:w="4277" w:type="dxa"/>
            <w:shd w:val="clear" w:color="auto" w:fill="auto"/>
          </w:tcPr>
          <w:p w14:paraId="2D3B4CD5" w14:textId="77777777" w:rsidR="007409E1" w:rsidRDefault="007409E1">
            <w:pPr>
              <w:pStyle w:val="Table-Text"/>
              <w:overflowPunct w:val="0"/>
              <w:autoSpaceDE w:val="0"/>
              <w:autoSpaceDN w:val="0"/>
              <w:jc w:val="both"/>
              <w:textAlignment w:val="baseline"/>
            </w:pPr>
            <w:r>
              <w:t>[</w:t>
            </w:r>
            <w:r>
              <w:rPr>
                <w:rFonts w:ascii="Wingdings" w:hAnsi="Wingdings"/>
              </w:rPr>
              <w:t></w:t>
            </w:r>
            <w:r>
              <w:rPr>
                <w:rFonts w:hint="eastAsia"/>
              </w:rPr>
              <w:t>                    </w:t>
            </w:r>
            <w:r>
              <w:t>] per Calculation Amount</w:t>
            </w:r>
          </w:p>
        </w:tc>
      </w:tr>
      <w:tr w:rsidR="007409E1" w14:paraId="353650D9" w14:textId="77777777">
        <w:tc>
          <w:tcPr>
            <w:tcW w:w="828" w:type="dxa"/>
            <w:shd w:val="clear" w:color="auto" w:fill="auto"/>
          </w:tcPr>
          <w:p w14:paraId="1B58F483" w14:textId="77777777" w:rsidR="007409E1" w:rsidRDefault="007409E1">
            <w:pPr>
              <w:pStyle w:val="ScheduleL1"/>
              <w:numPr>
                <w:ilvl w:val="0"/>
                <w:numId w:val="0"/>
              </w:numPr>
              <w:overflowPunct w:val="0"/>
              <w:autoSpaceDE w:val="0"/>
              <w:autoSpaceDN w:val="0"/>
              <w:spacing w:before="120" w:after="120"/>
              <w:textAlignment w:val="baseline"/>
            </w:pPr>
          </w:p>
        </w:tc>
        <w:tc>
          <w:tcPr>
            <w:tcW w:w="4140" w:type="dxa"/>
            <w:shd w:val="clear" w:color="auto" w:fill="auto"/>
          </w:tcPr>
          <w:p w14:paraId="3EA91829" w14:textId="77777777" w:rsidR="007409E1" w:rsidRDefault="007409E1">
            <w:pPr>
              <w:pStyle w:val="Table-Text"/>
              <w:numPr>
                <w:ilvl w:val="0"/>
                <w:numId w:val="29"/>
              </w:numPr>
              <w:overflowPunct w:val="0"/>
              <w:autoSpaceDE w:val="0"/>
              <w:autoSpaceDN w:val="0"/>
              <w:ind w:left="612" w:hanging="612"/>
              <w:textAlignment w:val="baseline"/>
            </w:pPr>
            <w:r>
              <w:t>Notice period:</w:t>
            </w:r>
          </w:p>
        </w:tc>
        <w:tc>
          <w:tcPr>
            <w:tcW w:w="4277" w:type="dxa"/>
            <w:shd w:val="clear" w:color="auto" w:fill="auto"/>
          </w:tcPr>
          <w:p w14:paraId="7810BD2D" w14:textId="77777777" w:rsidR="007409E1" w:rsidRDefault="007409E1">
            <w:pPr>
              <w:pStyle w:val="Table-Text"/>
              <w:overflowPunct w:val="0"/>
              <w:autoSpaceDE w:val="0"/>
              <w:autoSpaceDN w:val="0"/>
              <w:jc w:val="both"/>
              <w:textAlignment w:val="baseline"/>
            </w:pPr>
          </w:p>
        </w:tc>
      </w:tr>
      <w:tr w:rsidR="007409E1" w14:paraId="0D2F6AC0" w14:textId="77777777">
        <w:tc>
          <w:tcPr>
            <w:tcW w:w="828" w:type="dxa"/>
            <w:shd w:val="clear" w:color="auto" w:fill="auto"/>
          </w:tcPr>
          <w:p w14:paraId="7FC86514" w14:textId="77777777" w:rsidR="007409E1" w:rsidRDefault="007409E1">
            <w:pPr>
              <w:pStyle w:val="ScheduleL1"/>
              <w:overflowPunct w:val="0"/>
              <w:autoSpaceDE w:val="0"/>
              <w:autoSpaceDN w:val="0"/>
              <w:spacing w:before="120" w:after="120"/>
              <w:textAlignment w:val="baseline"/>
            </w:pPr>
          </w:p>
        </w:tc>
        <w:tc>
          <w:tcPr>
            <w:tcW w:w="4140" w:type="dxa"/>
            <w:shd w:val="clear" w:color="auto" w:fill="auto"/>
          </w:tcPr>
          <w:p w14:paraId="45DA9EB6" w14:textId="77777777" w:rsidR="007409E1" w:rsidRDefault="007409E1">
            <w:pPr>
              <w:pStyle w:val="Table-Text"/>
              <w:overflowPunct w:val="0"/>
              <w:autoSpaceDE w:val="0"/>
              <w:autoSpaceDN w:val="0"/>
              <w:textAlignment w:val="baseline"/>
            </w:pPr>
            <w:r>
              <w:t>Put Option</w:t>
            </w:r>
          </w:p>
        </w:tc>
        <w:tc>
          <w:tcPr>
            <w:tcW w:w="4277" w:type="dxa"/>
            <w:shd w:val="clear" w:color="auto" w:fill="auto"/>
          </w:tcPr>
          <w:p w14:paraId="6F077C10" w14:textId="77777777" w:rsidR="007409E1" w:rsidRDefault="007409E1">
            <w:pPr>
              <w:pStyle w:val="Table-Text"/>
              <w:overflowPunct w:val="0"/>
              <w:autoSpaceDE w:val="0"/>
              <w:autoSpaceDN w:val="0"/>
              <w:jc w:val="both"/>
              <w:textAlignment w:val="baseline"/>
            </w:pPr>
            <w:r>
              <w:t>[Applicable/Not Applicable]</w:t>
            </w:r>
          </w:p>
        </w:tc>
      </w:tr>
      <w:tr w:rsidR="007409E1" w14:paraId="211CC552" w14:textId="77777777">
        <w:tc>
          <w:tcPr>
            <w:tcW w:w="828" w:type="dxa"/>
            <w:shd w:val="clear" w:color="auto" w:fill="auto"/>
          </w:tcPr>
          <w:p w14:paraId="6F1F01D1" w14:textId="77777777" w:rsidR="007409E1" w:rsidRDefault="007409E1">
            <w:pPr>
              <w:pStyle w:val="ScheduleL1"/>
              <w:numPr>
                <w:ilvl w:val="0"/>
                <w:numId w:val="0"/>
              </w:numPr>
              <w:overflowPunct w:val="0"/>
              <w:autoSpaceDE w:val="0"/>
              <w:autoSpaceDN w:val="0"/>
              <w:spacing w:before="120" w:after="120"/>
              <w:textAlignment w:val="baseline"/>
            </w:pPr>
          </w:p>
        </w:tc>
        <w:tc>
          <w:tcPr>
            <w:tcW w:w="4140" w:type="dxa"/>
            <w:shd w:val="clear" w:color="auto" w:fill="auto"/>
          </w:tcPr>
          <w:p w14:paraId="1395A65D" w14:textId="77777777" w:rsidR="007409E1" w:rsidRDefault="007409E1">
            <w:pPr>
              <w:pStyle w:val="Table-Text"/>
              <w:numPr>
                <w:ilvl w:val="0"/>
                <w:numId w:val="31"/>
              </w:numPr>
              <w:tabs>
                <w:tab w:val="clear" w:pos="648"/>
                <w:tab w:val="num" w:pos="612"/>
              </w:tabs>
              <w:overflowPunct w:val="0"/>
              <w:autoSpaceDE w:val="0"/>
              <w:autoSpaceDN w:val="0"/>
              <w:ind w:left="612" w:hanging="612"/>
              <w:textAlignment w:val="baseline"/>
            </w:pPr>
            <w:r>
              <w:t>Optional Redemption Date(s):</w:t>
            </w:r>
          </w:p>
        </w:tc>
        <w:tc>
          <w:tcPr>
            <w:tcW w:w="4277" w:type="dxa"/>
            <w:shd w:val="clear" w:color="auto" w:fill="auto"/>
          </w:tcPr>
          <w:p w14:paraId="6F1C05F0" w14:textId="77777777" w:rsidR="007409E1" w:rsidRDefault="007409E1">
            <w:pPr>
              <w:pStyle w:val="Table-Text"/>
              <w:overflowPunct w:val="0"/>
              <w:autoSpaceDE w:val="0"/>
              <w:autoSpaceDN w:val="0"/>
              <w:jc w:val="both"/>
              <w:textAlignment w:val="baseline"/>
            </w:pPr>
            <w:r>
              <w:t>[</w:t>
            </w:r>
            <w:r>
              <w:rPr>
                <w:rFonts w:ascii="Wingdings" w:hAnsi="Wingdings"/>
              </w:rPr>
              <w:t></w:t>
            </w:r>
            <w:r>
              <w:rPr>
                <w:rFonts w:hint="eastAsia"/>
              </w:rPr>
              <w:t>                    </w:t>
            </w:r>
            <w:r>
              <w:t>]</w:t>
            </w:r>
          </w:p>
        </w:tc>
      </w:tr>
      <w:tr w:rsidR="007409E1" w14:paraId="52CA469D" w14:textId="77777777">
        <w:tc>
          <w:tcPr>
            <w:tcW w:w="828" w:type="dxa"/>
            <w:shd w:val="clear" w:color="auto" w:fill="auto"/>
          </w:tcPr>
          <w:p w14:paraId="67CA9B73" w14:textId="77777777" w:rsidR="007409E1" w:rsidRDefault="007409E1">
            <w:pPr>
              <w:pStyle w:val="ScheduleL1"/>
              <w:numPr>
                <w:ilvl w:val="0"/>
                <w:numId w:val="0"/>
              </w:numPr>
              <w:overflowPunct w:val="0"/>
              <w:autoSpaceDE w:val="0"/>
              <w:autoSpaceDN w:val="0"/>
              <w:spacing w:before="120" w:after="120"/>
              <w:textAlignment w:val="baseline"/>
            </w:pPr>
          </w:p>
        </w:tc>
        <w:tc>
          <w:tcPr>
            <w:tcW w:w="4140" w:type="dxa"/>
            <w:shd w:val="clear" w:color="auto" w:fill="auto"/>
          </w:tcPr>
          <w:p w14:paraId="62BA819D" w14:textId="77777777" w:rsidR="007409E1" w:rsidRDefault="007409E1">
            <w:pPr>
              <w:pStyle w:val="Table-Text"/>
              <w:numPr>
                <w:ilvl w:val="0"/>
                <w:numId w:val="31"/>
              </w:numPr>
              <w:overflowPunct w:val="0"/>
              <w:autoSpaceDE w:val="0"/>
              <w:autoSpaceDN w:val="0"/>
              <w:ind w:left="612" w:hanging="612"/>
              <w:textAlignment w:val="baseline"/>
            </w:pPr>
            <w:r>
              <w:t>Optional Redemption Amount(s) of each Note:</w:t>
            </w:r>
          </w:p>
        </w:tc>
        <w:tc>
          <w:tcPr>
            <w:tcW w:w="4277" w:type="dxa"/>
            <w:shd w:val="clear" w:color="auto" w:fill="auto"/>
          </w:tcPr>
          <w:p w14:paraId="280B4106" w14:textId="77777777" w:rsidR="007409E1" w:rsidRDefault="007409E1">
            <w:pPr>
              <w:pStyle w:val="Table-Text"/>
              <w:overflowPunct w:val="0"/>
              <w:autoSpaceDE w:val="0"/>
              <w:autoSpaceDN w:val="0"/>
              <w:jc w:val="both"/>
              <w:textAlignment w:val="baseline"/>
            </w:pPr>
            <w:r>
              <w:t>[</w:t>
            </w:r>
            <w:r>
              <w:rPr>
                <w:rFonts w:ascii="Wingdings" w:hAnsi="Wingdings"/>
              </w:rPr>
              <w:t></w:t>
            </w:r>
            <w:r>
              <w:rPr>
                <w:rFonts w:hint="eastAsia"/>
              </w:rPr>
              <w:t>                    </w:t>
            </w:r>
            <w:r>
              <w:t>] per Calculation Amount</w:t>
            </w:r>
          </w:p>
        </w:tc>
      </w:tr>
      <w:tr w:rsidR="007409E1" w14:paraId="003BB787" w14:textId="77777777">
        <w:tc>
          <w:tcPr>
            <w:tcW w:w="828" w:type="dxa"/>
            <w:shd w:val="clear" w:color="auto" w:fill="auto"/>
          </w:tcPr>
          <w:p w14:paraId="3503E128" w14:textId="77777777" w:rsidR="007409E1" w:rsidRDefault="007409E1">
            <w:pPr>
              <w:pStyle w:val="ScheduleL1"/>
              <w:numPr>
                <w:ilvl w:val="0"/>
                <w:numId w:val="0"/>
              </w:numPr>
              <w:overflowPunct w:val="0"/>
              <w:autoSpaceDE w:val="0"/>
              <w:autoSpaceDN w:val="0"/>
              <w:spacing w:before="120" w:after="120"/>
              <w:textAlignment w:val="baseline"/>
            </w:pPr>
          </w:p>
        </w:tc>
        <w:tc>
          <w:tcPr>
            <w:tcW w:w="4140" w:type="dxa"/>
            <w:shd w:val="clear" w:color="auto" w:fill="auto"/>
          </w:tcPr>
          <w:p w14:paraId="70E1997D" w14:textId="77777777" w:rsidR="007409E1" w:rsidRDefault="007409E1">
            <w:pPr>
              <w:pStyle w:val="Table-Text"/>
              <w:numPr>
                <w:ilvl w:val="0"/>
                <w:numId w:val="31"/>
              </w:numPr>
              <w:overflowPunct w:val="0"/>
              <w:autoSpaceDE w:val="0"/>
              <w:autoSpaceDN w:val="0"/>
              <w:ind w:left="612" w:hanging="612"/>
              <w:textAlignment w:val="baseline"/>
            </w:pPr>
            <w:r>
              <w:t>Notice period:</w:t>
            </w:r>
          </w:p>
        </w:tc>
        <w:tc>
          <w:tcPr>
            <w:tcW w:w="4277" w:type="dxa"/>
            <w:shd w:val="clear" w:color="auto" w:fill="auto"/>
          </w:tcPr>
          <w:p w14:paraId="19CA4813" w14:textId="77777777" w:rsidR="007409E1" w:rsidRDefault="007409E1">
            <w:pPr>
              <w:pStyle w:val="Table-Text"/>
              <w:overflowPunct w:val="0"/>
              <w:autoSpaceDE w:val="0"/>
              <w:autoSpaceDN w:val="0"/>
              <w:jc w:val="both"/>
              <w:textAlignment w:val="baseline"/>
            </w:pPr>
            <w:r>
              <w:t>[</w:t>
            </w:r>
            <w:r>
              <w:rPr>
                <w:rFonts w:ascii="Wingdings" w:hAnsi="Wingdings"/>
              </w:rPr>
              <w:t></w:t>
            </w:r>
            <w:r>
              <w:rPr>
                <w:rFonts w:hint="eastAsia"/>
              </w:rPr>
              <w:t>                    </w:t>
            </w:r>
            <w:r>
              <w:t>]</w:t>
            </w:r>
          </w:p>
        </w:tc>
      </w:tr>
      <w:tr w:rsidR="007409E1" w14:paraId="43D01D9C" w14:textId="77777777">
        <w:tc>
          <w:tcPr>
            <w:tcW w:w="828" w:type="dxa"/>
            <w:shd w:val="clear" w:color="auto" w:fill="auto"/>
          </w:tcPr>
          <w:p w14:paraId="0DFC797B" w14:textId="77777777" w:rsidR="007409E1" w:rsidRDefault="007409E1">
            <w:pPr>
              <w:pStyle w:val="ScheduleL1"/>
              <w:overflowPunct w:val="0"/>
              <w:autoSpaceDE w:val="0"/>
              <w:autoSpaceDN w:val="0"/>
              <w:spacing w:before="120" w:after="120"/>
              <w:textAlignment w:val="baseline"/>
            </w:pPr>
          </w:p>
        </w:tc>
        <w:tc>
          <w:tcPr>
            <w:tcW w:w="4140" w:type="dxa"/>
            <w:shd w:val="clear" w:color="auto" w:fill="auto"/>
          </w:tcPr>
          <w:p w14:paraId="29CD2972" w14:textId="77777777" w:rsidR="007409E1" w:rsidRDefault="007409E1">
            <w:pPr>
              <w:pStyle w:val="Table-Text"/>
              <w:overflowPunct w:val="0"/>
              <w:autoSpaceDE w:val="0"/>
              <w:autoSpaceDN w:val="0"/>
              <w:textAlignment w:val="baseline"/>
            </w:pPr>
            <w:r>
              <w:t>Final Redemption Amount of each Note:</w:t>
            </w:r>
          </w:p>
        </w:tc>
        <w:tc>
          <w:tcPr>
            <w:tcW w:w="4277" w:type="dxa"/>
            <w:shd w:val="clear" w:color="auto" w:fill="auto"/>
          </w:tcPr>
          <w:p w14:paraId="3EBBC061" w14:textId="77777777" w:rsidR="007409E1" w:rsidRDefault="007409E1">
            <w:pPr>
              <w:pStyle w:val="Table-Text"/>
              <w:overflowPunct w:val="0"/>
              <w:autoSpaceDE w:val="0"/>
              <w:autoSpaceDN w:val="0"/>
              <w:jc w:val="both"/>
              <w:textAlignment w:val="baseline"/>
            </w:pPr>
            <w:r>
              <w:t>[</w:t>
            </w:r>
            <w:r>
              <w:rPr>
                <w:rFonts w:ascii="Wingdings" w:hAnsi="Wingdings"/>
              </w:rPr>
              <w:t></w:t>
            </w:r>
            <w:r>
              <w:rPr>
                <w:rFonts w:hint="eastAsia"/>
              </w:rPr>
              <w:t>                    </w:t>
            </w:r>
            <w:r>
              <w:t>] per Calculation Amount</w:t>
            </w:r>
          </w:p>
        </w:tc>
      </w:tr>
      <w:tr w:rsidR="007409E1" w14:paraId="24009417" w14:textId="77777777">
        <w:tc>
          <w:tcPr>
            <w:tcW w:w="828" w:type="dxa"/>
            <w:shd w:val="clear" w:color="auto" w:fill="auto"/>
          </w:tcPr>
          <w:p w14:paraId="220CB161" w14:textId="77777777" w:rsidR="007409E1" w:rsidRDefault="007409E1">
            <w:pPr>
              <w:pStyle w:val="ScheduleL1"/>
              <w:overflowPunct w:val="0"/>
              <w:autoSpaceDE w:val="0"/>
              <w:autoSpaceDN w:val="0"/>
              <w:spacing w:before="120" w:after="120"/>
              <w:textAlignment w:val="baseline"/>
            </w:pPr>
          </w:p>
        </w:tc>
        <w:tc>
          <w:tcPr>
            <w:tcW w:w="4140" w:type="dxa"/>
            <w:shd w:val="clear" w:color="auto" w:fill="auto"/>
          </w:tcPr>
          <w:p w14:paraId="5BFDA98F" w14:textId="77777777" w:rsidR="007409E1" w:rsidRDefault="007409E1">
            <w:pPr>
              <w:pStyle w:val="Table-Text"/>
              <w:overflowPunct w:val="0"/>
              <w:autoSpaceDE w:val="0"/>
              <w:autoSpaceDN w:val="0"/>
              <w:textAlignment w:val="baseline"/>
            </w:pPr>
            <w:r>
              <w:t>Early Redemption Amount (Tax)</w:t>
            </w:r>
          </w:p>
        </w:tc>
        <w:tc>
          <w:tcPr>
            <w:tcW w:w="4277" w:type="dxa"/>
            <w:shd w:val="clear" w:color="auto" w:fill="auto"/>
          </w:tcPr>
          <w:p w14:paraId="2D5EAC31" w14:textId="77777777" w:rsidR="007409E1" w:rsidRDefault="007409E1">
            <w:pPr>
              <w:pStyle w:val="Table-Text"/>
              <w:overflowPunct w:val="0"/>
              <w:autoSpaceDE w:val="0"/>
              <w:autoSpaceDN w:val="0"/>
              <w:jc w:val="both"/>
              <w:textAlignment w:val="baseline"/>
            </w:pPr>
          </w:p>
        </w:tc>
      </w:tr>
      <w:tr w:rsidR="007409E1" w14:paraId="5D002CD6" w14:textId="77777777">
        <w:tc>
          <w:tcPr>
            <w:tcW w:w="828" w:type="dxa"/>
            <w:shd w:val="clear" w:color="auto" w:fill="auto"/>
          </w:tcPr>
          <w:p w14:paraId="453E0A5A" w14:textId="77777777" w:rsidR="007409E1" w:rsidRDefault="007409E1">
            <w:pPr>
              <w:pStyle w:val="ScheduleL1"/>
              <w:numPr>
                <w:ilvl w:val="0"/>
                <w:numId w:val="0"/>
              </w:numPr>
              <w:overflowPunct w:val="0"/>
              <w:autoSpaceDE w:val="0"/>
              <w:autoSpaceDN w:val="0"/>
              <w:spacing w:before="120" w:after="120"/>
              <w:textAlignment w:val="baseline"/>
            </w:pPr>
          </w:p>
        </w:tc>
        <w:tc>
          <w:tcPr>
            <w:tcW w:w="4140" w:type="dxa"/>
            <w:shd w:val="clear" w:color="auto" w:fill="auto"/>
          </w:tcPr>
          <w:p w14:paraId="781FE9EC" w14:textId="77777777" w:rsidR="007409E1" w:rsidRDefault="007409E1">
            <w:pPr>
              <w:pStyle w:val="Table-Text"/>
              <w:overflowPunct w:val="0"/>
              <w:autoSpaceDE w:val="0"/>
              <w:autoSpaceDN w:val="0"/>
              <w:textAlignment w:val="baseline"/>
            </w:pPr>
            <w:r>
              <w:t>Early Redemption Amount(s) per Calculation Amount payable on redemption for taxation reasons:</w:t>
            </w:r>
          </w:p>
        </w:tc>
        <w:tc>
          <w:tcPr>
            <w:tcW w:w="4277" w:type="dxa"/>
            <w:shd w:val="clear" w:color="auto" w:fill="auto"/>
          </w:tcPr>
          <w:p w14:paraId="7B5DEAA8" w14:textId="77777777" w:rsidR="007409E1" w:rsidRDefault="007409E1">
            <w:pPr>
              <w:pStyle w:val="Table-Text"/>
              <w:overflowPunct w:val="0"/>
              <w:autoSpaceDE w:val="0"/>
              <w:autoSpaceDN w:val="0"/>
              <w:jc w:val="both"/>
              <w:textAlignment w:val="baseline"/>
            </w:pPr>
            <w:r>
              <w:t>[Not Applicable] [</w:t>
            </w:r>
            <w:r>
              <w:rPr>
                <w:rFonts w:ascii="Wingdings" w:hAnsi="Wingdings"/>
              </w:rPr>
              <w:t></w:t>
            </w:r>
            <w:r>
              <w:rPr>
                <w:rFonts w:hint="eastAsia"/>
              </w:rPr>
              <w:t>                    </w:t>
            </w:r>
            <w:r>
              <w:t>]</w:t>
            </w:r>
          </w:p>
        </w:tc>
      </w:tr>
      <w:tr w:rsidR="007409E1" w14:paraId="753326D1" w14:textId="77777777">
        <w:tc>
          <w:tcPr>
            <w:tcW w:w="828" w:type="dxa"/>
            <w:shd w:val="clear" w:color="auto" w:fill="auto"/>
          </w:tcPr>
          <w:p w14:paraId="6AC4E6AE" w14:textId="77777777" w:rsidR="007409E1" w:rsidRDefault="007409E1">
            <w:pPr>
              <w:pStyle w:val="ScheduleL1"/>
              <w:overflowPunct w:val="0"/>
              <w:autoSpaceDE w:val="0"/>
              <w:autoSpaceDN w:val="0"/>
              <w:spacing w:before="120" w:after="120"/>
              <w:textAlignment w:val="baseline"/>
            </w:pPr>
          </w:p>
        </w:tc>
        <w:tc>
          <w:tcPr>
            <w:tcW w:w="4140" w:type="dxa"/>
            <w:shd w:val="clear" w:color="auto" w:fill="auto"/>
          </w:tcPr>
          <w:p w14:paraId="1ED2925B" w14:textId="77777777" w:rsidR="007409E1" w:rsidRDefault="007409E1">
            <w:pPr>
              <w:pStyle w:val="Table-Text"/>
              <w:overflowPunct w:val="0"/>
              <w:autoSpaceDE w:val="0"/>
              <w:autoSpaceDN w:val="0"/>
              <w:textAlignment w:val="baseline"/>
            </w:pPr>
            <w:r>
              <w:t>Early Termination Amount:</w:t>
            </w:r>
          </w:p>
        </w:tc>
        <w:tc>
          <w:tcPr>
            <w:tcW w:w="4277" w:type="dxa"/>
            <w:shd w:val="clear" w:color="auto" w:fill="auto"/>
          </w:tcPr>
          <w:p w14:paraId="0F456B54" w14:textId="77777777" w:rsidR="007409E1" w:rsidRDefault="007409E1">
            <w:pPr>
              <w:pStyle w:val="Table-Text"/>
              <w:overflowPunct w:val="0"/>
              <w:autoSpaceDE w:val="0"/>
              <w:autoSpaceDN w:val="0"/>
              <w:jc w:val="both"/>
              <w:textAlignment w:val="baseline"/>
            </w:pPr>
            <w:r>
              <w:t>[Not Applicable] [</w:t>
            </w:r>
            <w:r>
              <w:rPr>
                <w:rFonts w:ascii="Wingdings" w:hAnsi="Wingdings"/>
              </w:rPr>
              <w:t></w:t>
            </w:r>
            <w:r>
              <w:rPr>
                <w:rFonts w:hint="eastAsia"/>
              </w:rPr>
              <w:t>                    </w:t>
            </w:r>
            <w:r>
              <w:t>]</w:t>
            </w:r>
          </w:p>
        </w:tc>
      </w:tr>
      <w:tr w:rsidR="007409E1" w14:paraId="2DCB438D" w14:textId="77777777">
        <w:tc>
          <w:tcPr>
            <w:tcW w:w="9245" w:type="dxa"/>
            <w:gridSpan w:val="3"/>
            <w:shd w:val="clear" w:color="auto" w:fill="auto"/>
          </w:tcPr>
          <w:p w14:paraId="46650DB2" w14:textId="77777777" w:rsidR="007409E1" w:rsidRDefault="007409E1">
            <w:pPr>
              <w:pStyle w:val="Table-Text"/>
              <w:keepNext/>
              <w:overflowPunct w:val="0"/>
              <w:autoSpaceDE w:val="0"/>
              <w:autoSpaceDN w:val="0"/>
              <w:jc w:val="both"/>
              <w:textAlignment w:val="baseline"/>
              <w:rPr>
                <w:b/>
              </w:rPr>
            </w:pPr>
            <w:r>
              <w:rPr>
                <w:b/>
              </w:rPr>
              <w:t>General provisions applicable to the Notes</w:t>
            </w:r>
          </w:p>
        </w:tc>
      </w:tr>
      <w:tr w:rsidR="007409E1" w14:paraId="785D7BF0" w14:textId="77777777">
        <w:tc>
          <w:tcPr>
            <w:tcW w:w="828" w:type="dxa"/>
            <w:shd w:val="clear" w:color="auto" w:fill="auto"/>
          </w:tcPr>
          <w:p w14:paraId="69EB428D" w14:textId="77777777" w:rsidR="007409E1" w:rsidRDefault="007409E1">
            <w:pPr>
              <w:pStyle w:val="ScheduleL1"/>
              <w:overflowPunct w:val="0"/>
              <w:autoSpaceDE w:val="0"/>
              <w:autoSpaceDN w:val="0"/>
              <w:spacing w:before="120" w:after="120"/>
              <w:textAlignment w:val="baseline"/>
            </w:pPr>
          </w:p>
        </w:tc>
        <w:tc>
          <w:tcPr>
            <w:tcW w:w="4140" w:type="dxa"/>
            <w:shd w:val="clear" w:color="auto" w:fill="auto"/>
          </w:tcPr>
          <w:p w14:paraId="0164FC42" w14:textId="77777777" w:rsidR="007409E1" w:rsidRDefault="007409E1">
            <w:pPr>
              <w:pStyle w:val="Table-Text"/>
              <w:overflowPunct w:val="0"/>
              <w:autoSpaceDE w:val="0"/>
              <w:autoSpaceDN w:val="0"/>
              <w:textAlignment w:val="baseline"/>
            </w:pPr>
            <w:r>
              <w:t>Form of Notes:</w:t>
            </w:r>
          </w:p>
        </w:tc>
        <w:tc>
          <w:tcPr>
            <w:tcW w:w="4277" w:type="dxa"/>
            <w:shd w:val="clear" w:color="auto" w:fill="auto"/>
          </w:tcPr>
          <w:p w14:paraId="1A2E2C12" w14:textId="77777777" w:rsidR="007409E1" w:rsidRDefault="00DB3CBA">
            <w:pPr>
              <w:pStyle w:val="Table-Text"/>
              <w:overflowPunct w:val="0"/>
              <w:autoSpaceDE w:val="0"/>
              <w:autoSpaceDN w:val="0"/>
              <w:jc w:val="both"/>
              <w:textAlignment w:val="baseline"/>
            </w:pPr>
            <w:r>
              <w:t>[</w:t>
            </w:r>
            <w:r w:rsidR="007409E1">
              <w:t>Bearer Notes:</w:t>
            </w:r>
          </w:p>
        </w:tc>
      </w:tr>
      <w:tr w:rsidR="007409E1" w14:paraId="004951B6" w14:textId="77777777">
        <w:tc>
          <w:tcPr>
            <w:tcW w:w="828" w:type="dxa"/>
            <w:shd w:val="clear" w:color="auto" w:fill="auto"/>
          </w:tcPr>
          <w:p w14:paraId="3568A3E1" w14:textId="77777777" w:rsidR="007409E1" w:rsidRDefault="007409E1">
            <w:pPr>
              <w:pStyle w:val="ScheduleL1"/>
              <w:numPr>
                <w:ilvl w:val="0"/>
                <w:numId w:val="0"/>
              </w:numPr>
              <w:overflowPunct w:val="0"/>
              <w:autoSpaceDE w:val="0"/>
              <w:autoSpaceDN w:val="0"/>
              <w:spacing w:before="120" w:after="120"/>
              <w:textAlignment w:val="baseline"/>
            </w:pPr>
          </w:p>
        </w:tc>
        <w:tc>
          <w:tcPr>
            <w:tcW w:w="4140" w:type="dxa"/>
            <w:shd w:val="clear" w:color="auto" w:fill="auto"/>
          </w:tcPr>
          <w:p w14:paraId="0A63D060" w14:textId="77777777" w:rsidR="007409E1" w:rsidRDefault="007409E1">
            <w:pPr>
              <w:pStyle w:val="Table-Text"/>
              <w:overflowPunct w:val="0"/>
              <w:autoSpaceDE w:val="0"/>
              <w:autoSpaceDN w:val="0"/>
              <w:textAlignment w:val="baseline"/>
            </w:pPr>
          </w:p>
        </w:tc>
        <w:tc>
          <w:tcPr>
            <w:tcW w:w="4277" w:type="dxa"/>
            <w:shd w:val="clear" w:color="auto" w:fill="auto"/>
          </w:tcPr>
          <w:p w14:paraId="323D99FD" w14:textId="77777777" w:rsidR="007409E1" w:rsidRDefault="007409E1">
            <w:pPr>
              <w:pStyle w:val="Table-Text"/>
              <w:overflowPunct w:val="0"/>
              <w:autoSpaceDE w:val="0"/>
              <w:autoSpaceDN w:val="0"/>
              <w:jc w:val="both"/>
              <w:textAlignment w:val="baseline"/>
            </w:pPr>
            <w:r>
              <w:t>[Temporary Global Note exchangeable for a Permanent Global Note which is exchangeable for Definitive Notes in the limited circumstances specified in the Permanent Global Note]</w:t>
            </w:r>
          </w:p>
        </w:tc>
      </w:tr>
      <w:tr w:rsidR="007409E1" w14:paraId="6A031DFB" w14:textId="77777777">
        <w:tc>
          <w:tcPr>
            <w:tcW w:w="828" w:type="dxa"/>
            <w:shd w:val="clear" w:color="auto" w:fill="auto"/>
          </w:tcPr>
          <w:p w14:paraId="17D05B95" w14:textId="77777777" w:rsidR="007409E1" w:rsidRDefault="007409E1">
            <w:pPr>
              <w:pStyle w:val="ScheduleL1"/>
              <w:numPr>
                <w:ilvl w:val="0"/>
                <w:numId w:val="0"/>
              </w:numPr>
              <w:overflowPunct w:val="0"/>
              <w:autoSpaceDE w:val="0"/>
              <w:autoSpaceDN w:val="0"/>
              <w:spacing w:before="120" w:after="120"/>
              <w:textAlignment w:val="baseline"/>
            </w:pPr>
          </w:p>
        </w:tc>
        <w:tc>
          <w:tcPr>
            <w:tcW w:w="4140" w:type="dxa"/>
            <w:shd w:val="clear" w:color="auto" w:fill="auto"/>
          </w:tcPr>
          <w:p w14:paraId="2F5619E8" w14:textId="77777777" w:rsidR="007409E1" w:rsidRDefault="007409E1">
            <w:pPr>
              <w:pStyle w:val="Table-Text"/>
              <w:overflowPunct w:val="0"/>
              <w:autoSpaceDE w:val="0"/>
              <w:autoSpaceDN w:val="0"/>
              <w:textAlignment w:val="baseline"/>
            </w:pPr>
          </w:p>
        </w:tc>
        <w:tc>
          <w:tcPr>
            <w:tcW w:w="4277" w:type="dxa"/>
            <w:shd w:val="clear" w:color="auto" w:fill="auto"/>
          </w:tcPr>
          <w:p w14:paraId="152C92A9" w14:textId="77777777" w:rsidR="007409E1" w:rsidRDefault="007409E1">
            <w:pPr>
              <w:pStyle w:val="Table-Text"/>
              <w:overflowPunct w:val="0"/>
              <w:autoSpaceDE w:val="0"/>
              <w:autoSpaceDN w:val="0"/>
              <w:jc w:val="both"/>
              <w:textAlignment w:val="baseline"/>
            </w:pPr>
            <w:r>
              <w:t>[Temporary Global Note exchangeable for Definitive Notes]</w:t>
            </w:r>
          </w:p>
        </w:tc>
      </w:tr>
      <w:tr w:rsidR="007409E1" w14:paraId="63F20754" w14:textId="77777777">
        <w:tc>
          <w:tcPr>
            <w:tcW w:w="828" w:type="dxa"/>
            <w:shd w:val="clear" w:color="auto" w:fill="auto"/>
          </w:tcPr>
          <w:p w14:paraId="14A2160E" w14:textId="77777777" w:rsidR="007409E1" w:rsidRDefault="007409E1">
            <w:pPr>
              <w:pStyle w:val="ScheduleL1"/>
              <w:numPr>
                <w:ilvl w:val="0"/>
                <w:numId w:val="0"/>
              </w:numPr>
              <w:overflowPunct w:val="0"/>
              <w:autoSpaceDE w:val="0"/>
              <w:autoSpaceDN w:val="0"/>
              <w:spacing w:before="120" w:after="120"/>
              <w:textAlignment w:val="baseline"/>
            </w:pPr>
          </w:p>
        </w:tc>
        <w:tc>
          <w:tcPr>
            <w:tcW w:w="4140" w:type="dxa"/>
            <w:shd w:val="clear" w:color="auto" w:fill="auto"/>
          </w:tcPr>
          <w:p w14:paraId="2934D1D5" w14:textId="77777777" w:rsidR="007409E1" w:rsidRDefault="007409E1">
            <w:pPr>
              <w:pStyle w:val="Table-Text"/>
              <w:overflowPunct w:val="0"/>
              <w:autoSpaceDE w:val="0"/>
              <w:autoSpaceDN w:val="0"/>
              <w:textAlignment w:val="baseline"/>
            </w:pPr>
          </w:p>
        </w:tc>
        <w:tc>
          <w:tcPr>
            <w:tcW w:w="4277" w:type="dxa"/>
            <w:shd w:val="clear" w:color="auto" w:fill="auto"/>
          </w:tcPr>
          <w:p w14:paraId="6A629B70" w14:textId="77777777" w:rsidR="007409E1" w:rsidRDefault="007409E1">
            <w:pPr>
              <w:pStyle w:val="Table-Text"/>
              <w:overflowPunct w:val="0"/>
              <w:autoSpaceDE w:val="0"/>
              <w:autoSpaceDN w:val="0"/>
              <w:jc w:val="both"/>
              <w:textAlignment w:val="baseline"/>
            </w:pPr>
            <w:r>
              <w:t>[Permanent Global Note exchangeable for Definitive Notes in the limited circumstances specified in the Permanent Global Note]</w:t>
            </w:r>
            <w:r w:rsidR="00DB3CBA">
              <w:t>]/</w:t>
            </w:r>
          </w:p>
        </w:tc>
      </w:tr>
      <w:tr w:rsidR="00DB3CBA" w14:paraId="363C9F4B" w14:textId="77777777">
        <w:tc>
          <w:tcPr>
            <w:tcW w:w="828" w:type="dxa"/>
            <w:shd w:val="clear" w:color="auto" w:fill="auto"/>
          </w:tcPr>
          <w:p w14:paraId="57101414" w14:textId="77777777" w:rsidR="00DB3CBA" w:rsidRDefault="00DB3CBA">
            <w:pPr>
              <w:pStyle w:val="ScheduleL1"/>
              <w:numPr>
                <w:ilvl w:val="0"/>
                <w:numId w:val="0"/>
              </w:numPr>
              <w:overflowPunct w:val="0"/>
              <w:autoSpaceDE w:val="0"/>
              <w:autoSpaceDN w:val="0"/>
              <w:spacing w:before="120" w:after="120"/>
              <w:textAlignment w:val="baseline"/>
            </w:pPr>
          </w:p>
        </w:tc>
        <w:tc>
          <w:tcPr>
            <w:tcW w:w="4140" w:type="dxa"/>
            <w:shd w:val="clear" w:color="auto" w:fill="auto"/>
          </w:tcPr>
          <w:p w14:paraId="1EDF390E" w14:textId="77777777" w:rsidR="00DB3CBA" w:rsidRDefault="00DB3CBA">
            <w:pPr>
              <w:pStyle w:val="Table-Text"/>
              <w:overflowPunct w:val="0"/>
              <w:autoSpaceDE w:val="0"/>
              <w:autoSpaceDN w:val="0"/>
              <w:textAlignment w:val="baseline"/>
            </w:pPr>
          </w:p>
        </w:tc>
        <w:tc>
          <w:tcPr>
            <w:tcW w:w="4277" w:type="dxa"/>
            <w:shd w:val="clear" w:color="auto" w:fill="auto"/>
          </w:tcPr>
          <w:p w14:paraId="749C963D" w14:textId="77777777" w:rsidR="00DB3CBA" w:rsidRDefault="00DB3CBA">
            <w:pPr>
              <w:pStyle w:val="Table-Text"/>
              <w:overflowPunct w:val="0"/>
              <w:autoSpaceDE w:val="0"/>
              <w:autoSpaceDN w:val="0"/>
              <w:jc w:val="both"/>
              <w:textAlignment w:val="baseline"/>
            </w:pPr>
            <w:r w:rsidRPr="00DB3CBA">
              <w:t>[Uncertificated, dematerialised book-entry form (</w:t>
            </w:r>
            <w:r w:rsidRPr="00DB3CBA">
              <w:rPr>
                <w:i/>
                <w:iCs/>
              </w:rPr>
              <w:t>anotaciones en cuenta</w:t>
            </w:r>
            <w:r w:rsidRPr="00DB3CBA">
              <w:t>)]</w:t>
            </w:r>
          </w:p>
        </w:tc>
      </w:tr>
      <w:tr w:rsidR="007409E1" w14:paraId="761E69F9" w14:textId="77777777">
        <w:tc>
          <w:tcPr>
            <w:tcW w:w="828" w:type="dxa"/>
            <w:shd w:val="clear" w:color="auto" w:fill="auto"/>
          </w:tcPr>
          <w:p w14:paraId="4EB7C0E9" w14:textId="77777777" w:rsidR="007409E1" w:rsidRDefault="007409E1">
            <w:pPr>
              <w:pStyle w:val="ScheduleL1"/>
              <w:overflowPunct w:val="0"/>
              <w:autoSpaceDE w:val="0"/>
              <w:autoSpaceDN w:val="0"/>
              <w:spacing w:before="120" w:after="120"/>
              <w:textAlignment w:val="baseline"/>
            </w:pPr>
          </w:p>
        </w:tc>
        <w:tc>
          <w:tcPr>
            <w:tcW w:w="4140" w:type="dxa"/>
            <w:shd w:val="clear" w:color="auto" w:fill="auto"/>
          </w:tcPr>
          <w:p w14:paraId="7A707B1D" w14:textId="77777777" w:rsidR="007409E1" w:rsidRDefault="007409E1">
            <w:pPr>
              <w:pStyle w:val="Table-Text"/>
              <w:overflowPunct w:val="0"/>
              <w:autoSpaceDE w:val="0"/>
              <w:autoSpaceDN w:val="0"/>
              <w:textAlignment w:val="baseline"/>
            </w:pPr>
            <w:r>
              <w:t>New Global Note:</w:t>
            </w:r>
          </w:p>
        </w:tc>
        <w:tc>
          <w:tcPr>
            <w:tcW w:w="4277" w:type="dxa"/>
            <w:shd w:val="clear" w:color="auto" w:fill="auto"/>
          </w:tcPr>
          <w:p w14:paraId="48300AE2" w14:textId="77777777" w:rsidR="007409E1" w:rsidRDefault="007409E1">
            <w:pPr>
              <w:pStyle w:val="Table-Text"/>
              <w:overflowPunct w:val="0"/>
              <w:autoSpaceDE w:val="0"/>
              <w:autoSpaceDN w:val="0"/>
              <w:jc w:val="both"/>
              <w:textAlignment w:val="baseline"/>
            </w:pPr>
            <w:r>
              <w:t>[Yes] [No]</w:t>
            </w:r>
          </w:p>
        </w:tc>
      </w:tr>
      <w:tr w:rsidR="007409E1" w14:paraId="1E5FBC92" w14:textId="77777777">
        <w:tc>
          <w:tcPr>
            <w:tcW w:w="828" w:type="dxa"/>
            <w:shd w:val="clear" w:color="auto" w:fill="auto"/>
          </w:tcPr>
          <w:p w14:paraId="07D4688D" w14:textId="77777777" w:rsidR="007409E1" w:rsidRDefault="007409E1">
            <w:pPr>
              <w:pStyle w:val="ScheduleL1"/>
              <w:overflowPunct w:val="0"/>
              <w:autoSpaceDE w:val="0"/>
              <w:autoSpaceDN w:val="0"/>
              <w:spacing w:before="120" w:after="120"/>
              <w:textAlignment w:val="baseline"/>
            </w:pPr>
          </w:p>
        </w:tc>
        <w:tc>
          <w:tcPr>
            <w:tcW w:w="4140" w:type="dxa"/>
            <w:shd w:val="clear" w:color="auto" w:fill="auto"/>
          </w:tcPr>
          <w:p w14:paraId="7ABB9CB2" w14:textId="77777777" w:rsidR="007409E1" w:rsidRDefault="007409E1">
            <w:pPr>
              <w:pStyle w:val="Table-Text"/>
              <w:overflowPunct w:val="0"/>
              <w:autoSpaceDE w:val="0"/>
              <w:autoSpaceDN w:val="0"/>
              <w:textAlignment w:val="baseline"/>
            </w:pPr>
            <w:r>
              <w:t>Additional Financial Centre(s):</w:t>
            </w:r>
          </w:p>
        </w:tc>
        <w:tc>
          <w:tcPr>
            <w:tcW w:w="4277" w:type="dxa"/>
            <w:shd w:val="clear" w:color="auto" w:fill="auto"/>
          </w:tcPr>
          <w:p w14:paraId="0A7750B4" w14:textId="77777777" w:rsidR="007409E1" w:rsidRDefault="007409E1">
            <w:pPr>
              <w:pStyle w:val="Table-Text"/>
              <w:overflowPunct w:val="0"/>
              <w:autoSpaceDE w:val="0"/>
              <w:autoSpaceDN w:val="0"/>
              <w:jc w:val="both"/>
              <w:textAlignment w:val="baseline"/>
            </w:pPr>
            <w:r>
              <w:t>[Not Applicable/[</w:t>
            </w:r>
            <w:r>
              <w:rPr>
                <w:rFonts w:ascii="Wingdings" w:hAnsi="Wingdings"/>
              </w:rPr>
              <w:t></w:t>
            </w:r>
            <w:r>
              <w:rPr>
                <w:rFonts w:hint="eastAsia"/>
              </w:rPr>
              <w:t>                    </w:t>
            </w:r>
            <w:r>
              <w:t>]]</w:t>
            </w:r>
          </w:p>
        </w:tc>
      </w:tr>
      <w:tr w:rsidR="007409E1" w14:paraId="31B77477" w14:textId="77777777">
        <w:tc>
          <w:tcPr>
            <w:tcW w:w="828" w:type="dxa"/>
            <w:shd w:val="clear" w:color="auto" w:fill="auto"/>
          </w:tcPr>
          <w:p w14:paraId="59D1E2D6" w14:textId="77777777" w:rsidR="007409E1" w:rsidRDefault="007409E1">
            <w:pPr>
              <w:pStyle w:val="ScheduleL1"/>
              <w:overflowPunct w:val="0"/>
              <w:autoSpaceDE w:val="0"/>
              <w:autoSpaceDN w:val="0"/>
              <w:spacing w:before="120" w:after="120"/>
              <w:textAlignment w:val="baseline"/>
            </w:pPr>
          </w:p>
        </w:tc>
        <w:tc>
          <w:tcPr>
            <w:tcW w:w="4140" w:type="dxa"/>
            <w:shd w:val="clear" w:color="auto" w:fill="auto"/>
          </w:tcPr>
          <w:p w14:paraId="63F8159D" w14:textId="77777777" w:rsidR="007409E1" w:rsidRDefault="007409E1">
            <w:pPr>
              <w:pStyle w:val="Table-Text"/>
              <w:overflowPunct w:val="0"/>
              <w:autoSpaceDE w:val="0"/>
              <w:autoSpaceDN w:val="0"/>
              <w:textAlignment w:val="baseline"/>
            </w:pPr>
            <w:r>
              <w:t>Talons for future Coupons or Receipts to be attached to Definitive Notes (and dates on which such Talons mature):</w:t>
            </w:r>
          </w:p>
        </w:tc>
        <w:tc>
          <w:tcPr>
            <w:tcW w:w="4277" w:type="dxa"/>
            <w:shd w:val="clear" w:color="auto" w:fill="auto"/>
          </w:tcPr>
          <w:p w14:paraId="3F621B20" w14:textId="77777777" w:rsidR="007409E1" w:rsidRDefault="007409E1">
            <w:pPr>
              <w:pStyle w:val="Table-Text"/>
              <w:overflowPunct w:val="0"/>
              <w:autoSpaceDE w:val="0"/>
              <w:autoSpaceDN w:val="0"/>
              <w:jc w:val="both"/>
              <w:textAlignment w:val="baseline"/>
            </w:pPr>
            <w:r>
              <w:t>[Yes/No.  As the Notes have more than 27 coupon payments, talons may be required if, on exchange into definitive form, more than 27 coupon payments are left.]</w:t>
            </w:r>
          </w:p>
        </w:tc>
      </w:tr>
    </w:tbl>
    <w:p w14:paraId="65FBCAE6" w14:textId="77777777" w:rsidR="007409E1" w:rsidRDefault="007409E1">
      <w:pPr>
        <w:pStyle w:val="MarginText"/>
      </w:pPr>
    </w:p>
    <w:p w14:paraId="07A3D950" w14:textId="77777777" w:rsidR="007409E1" w:rsidRDefault="007409E1">
      <w:pPr>
        <w:pStyle w:val="MarginText"/>
      </w:pPr>
      <w:r>
        <w:t>Signed on behalf of ADIF-Alta Velocidad:</w:t>
      </w:r>
    </w:p>
    <w:p w14:paraId="33D479ED" w14:textId="77777777" w:rsidR="007409E1" w:rsidRDefault="007409E1">
      <w:pPr>
        <w:pStyle w:val="MarginText"/>
      </w:pPr>
    </w:p>
    <w:p w14:paraId="795644D9" w14:textId="77777777" w:rsidR="007409E1" w:rsidRDefault="007409E1">
      <w:pPr>
        <w:pStyle w:val="MarginText"/>
        <w:spacing w:after="0"/>
      </w:pPr>
      <w:r>
        <w:t>By:</w:t>
      </w:r>
      <w:r>
        <w:tab/>
        <w:t>………………………………………………</w:t>
      </w:r>
    </w:p>
    <w:p w14:paraId="7D9C2B2B" w14:textId="77777777" w:rsidR="007409E1" w:rsidRDefault="007409E1">
      <w:pPr>
        <w:pStyle w:val="MarginText"/>
        <w:ind w:left="720"/>
      </w:pPr>
      <w:r>
        <w:t>Duly authorised</w:t>
      </w:r>
    </w:p>
    <w:p w14:paraId="6B311804" w14:textId="77777777" w:rsidR="007409E1" w:rsidRDefault="007409E1">
      <w:pPr>
        <w:pStyle w:val="MarginText"/>
        <w:ind w:left="720"/>
        <w:jc w:val="center"/>
        <w:rPr>
          <w:b/>
        </w:rPr>
      </w:pPr>
      <w:r>
        <w:br w:type="page"/>
      </w:r>
      <w:r>
        <w:rPr>
          <w:b/>
        </w:rPr>
        <w:t>PART B - OTHER INFORMATION</w:t>
      </w:r>
    </w:p>
    <w:tbl>
      <w:tblPr>
        <w:tblW w:w="5000" w:type="pct"/>
        <w:tblLayout w:type="fixed"/>
        <w:tblLook w:val="0000" w:firstRow="0" w:lastRow="0" w:firstColumn="0" w:lastColumn="0" w:noHBand="0" w:noVBand="0"/>
      </w:tblPr>
      <w:tblGrid>
        <w:gridCol w:w="653"/>
        <w:gridCol w:w="3559"/>
        <w:gridCol w:w="4155"/>
        <w:gridCol w:w="878"/>
      </w:tblGrid>
      <w:tr w:rsidR="007409E1" w14:paraId="54D3BAEF" w14:textId="77777777">
        <w:trPr>
          <w:trHeight w:val="494"/>
        </w:trPr>
        <w:tc>
          <w:tcPr>
            <w:tcW w:w="353" w:type="pct"/>
            <w:vMerge w:val="restart"/>
          </w:tcPr>
          <w:p w14:paraId="557333FC" w14:textId="77777777" w:rsidR="007409E1" w:rsidRDefault="007409E1">
            <w:pPr>
              <w:pStyle w:val="ocNum4th2"/>
              <w:rPr>
                <w:sz w:val="22"/>
              </w:rPr>
            </w:pPr>
          </w:p>
        </w:tc>
        <w:tc>
          <w:tcPr>
            <w:tcW w:w="1925" w:type="pct"/>
          </w:tcPr>
          <w:p w14:paraId="3F9E1EFE" w14:textId="77777777" w:rsidR="007409E1" w:rsidRDefault="007409E1">
            <w:pPr>
              <w:pStyle w:val="BodyText"/>
              <w:jc w:val="left"/>
            </w:pPr>
            <w:r>
              <w:rPr>
                <w:b/>
                <w:bCs/>
              </w:rPr>
              <w:t xml:space="preserve">LISTING AND ADMISSION TO TRADING </w:t>
            </w:r>
          </w:p>
        </w:tc>
        <w:tc>
          <w:tcPr>
            <w:tcW w:w="2247" w:type="pct"/>
          </w:tcPr>
          <w:p w14:paraId="3017C4F3" w14:textId="77777777" w:rsidR="007409E1" w:rsidRDefault="007409E1">
            <w:pPr>
              <w:pStyle w:val="BodyText"/>
            </w:pPr>
          </w:p>
        </w:tc>
        <w:tc>
          <w:tcPr>
            <w:tcW w:w="475" w:type="pct"/>
            <w:vMerge w:val="restart"/>
            <w:tcMar>
              <w:left w:w="108" w:type="dxa"/>
            </w:tcMar>
          </w:tcPr>
          <w:p w14:paraId="1AEB6D7B" w14:textId="77777777" w:rsidR="007409E1" w:rsidRDefault="007409E1">
            <w:pPr>
              <w:pStyle w:val="TableMarginNote"/>
              <w:spacing w:line="240" w:lineRule="auto"/>
            </w:pPr>
          </w:p>
        </w:tc>
      </w:tr>
      <w:tr w:rsidR="007409E1" w14:paraId="287D8D3E" w14:textId="77777777">
        <w:trPr>
          <w:trHeight w:val="2029"/>
        </w:trPr>
        <w:tc>
          <w:tcPr>
            <w:tcW w:w="353" w:type="pct"/>
            <w:vMerge/>
          </w:tcPr>
          <w:p w14:paraId="59B745F4" w14:textId="77777777" w:rsidR="007409E1" w:rsidRDefault="007409E1">
            <w:pPr>
              <w:pStyle w:val="ocNum4th2"/>
              <w:rPr>
                <w:sz w:val="22"/>
              </w:rPr>
            </w:pPr>
          </w:p>
        </w:tc>
        <w:tc>
          <w:tcPr>
            <w:tcW w:w="1925" w:type="pct"/>
          </w:tcPr>
          <w:p w14:paraId="67038764" w14:textId="77777777" w:rsidR="007409E1" w:rsidRDefault="007409E1">
            <w:pPr>
              <w:pStyle w:val="BodyText"/>
              <w:jc w:val="left"/>
            </w:pPr>
            <w:r>
              <w:rPr>
                <w:rFonts w:eastAsia="SimSun"/>
              </w:rPr>
              <w:t>(i)</w:t>
            </w:r>
            <w:r>
              <w:tab/>
              <w:t>Listing:</w:t>
            </w:r>
          </w:p>
        </w:tc>
        <w:tc>
          <w:tcPr>
            <w:tcW w:w="2247" w:type="pct"/>
          </w:tcPr>
          <w:p w14:paraId="0D6DFACC" w14:textId="77777777" w:rsidR="007409E1" w:rsidRDefault="007409E1">
            <w:pPr>
              <w:pStyle w:val="BodyText"/>
            </w:pPr>
            <w:r>
              <w:t xml:space="preserve">[Application has been made by the Issuer (or on its behalf) for the Notes to be admitted to listing on the Official List of Euronext Dublin with effect from [•].] [Application is </w:t>
            </w:r>
            <w:r w:rsidR="00F019B1" w:rsidRPr="00F019B1">
              <w:t xml:space="preserve">[also] </w:t>
            </w:r>
            <w:r>
              <w:t>expected to be made by the Issuer (or on its behalf) for the Notes to be admitted to listing on the AIAF Fixed Income Securities Market in Spain [with effect from [•] / within 30 days of the Issue Date.]]</w:t>
            </w:r>
          </w:p>
        </w:tc>
        <w:tc>
          <w:tcPr>
            <w:tcW w:w="475" w:type="pct"/>
            <w:vMerge/>
            <w:tcMar>
              <w:left w:w="108" w:type="dxa"/>
            </w:tcMar>
          </w:tcPr>
          <w:p w14:paraId="4F3B1410" w14:textId="77777777" w:rsidR="007409E1" w:rsidRDefault="007409E1">
            <w:pPr>
              <w:pStyle w:val="TableMarginNote"/>
              <w:spacing w:line="240" w:lineRule="auto"/>
            </w:pPr>
          </w:p>
        </w:tc>
      </w:tr>
      <w:tr w:rsidR="007409E1" w14:paraId="0A275887" w14:textId="77777777">
        <w:trPr>
          <w:trHeight w:val="784"/>
        </w:trPr>
        <w:tc>
          <w:tcPr>
            <w:tcW w:w="353" w:type="pct"/>
            <w:vMerge/>
          </w:tcPr>
          <w:p w14:paraId="73A05EC9" w14:textId="77777777" w:rsidR="007409E1" w:rsidRDefault="007409E1">
            <w:pPr>
              <w:pStyle w:val="ocNum4th2"/>
              <w:rPr>
                <w:sz w:val="22"/>
              </w:rPr>
            </w:pPr>
          </w:p>
        </w:tc>
        <w:tc>
          <w:tcPr>
            <w:tcW w:w="1925" w:type="pct"/>
          </w:tcPr>
          <w:p w14:paraId="6A6127FF" w14:textId="77777777" w:rsidR="007409E1" w:rsidRDefault="007409E1">
            <w:pPr>
              <w:pStyle w:val="BodyText"/>
              <w:jc w:val="left"/>
            </w:pPr>
            <w:r>
              <w:rPr>
                <w:rFonts w:eastAsia="SimSun"/>
              </w:rPr>
              <w:t>(ii)</w:t>
            </w:r>
            <w:r>
              <w:tab/>
              <w:t>Admission to Trading:</w:t>
            </w:r>
          </w:p>
        </w:tc>
        <w:tc>
          <w:tcPr>
            <w:tcW w:w="2247" w:type="pct"/>
          </w:tcPr>
          <w:p w14:paraId="2C485FE4" w14:textId="77777777" w:rsidR="007409E1" w:rsidRDefault="007409E1">
            <w:pPr>
              <w:pStyle w:val="BodyText"/>
            </w:pPr>
            <w:r>
              <w:t xml:space="preserve">[Application has been made by the Issuer (or on its behalf) for the Notes to be admitted to trading on the </w:t>
            </w:r>
            <w:r w:rsidR="00047F71">
              <w:t>regulated market</w:t>
            </w:r>
            <w:r>
              <w:t xml:space="preserve"> of Euronext Dublin with effect from [•].] [Application is </w:t>
            </w:r>
            <w:r w:rsidR="00F019B1" w:rsidRPr="00F019B1">
              <w:t xml:space="preserve">[also] </w:t>
            </w:r>
            <w:r>
              <w:t xml:space="preserve">expected to be made by the Issuer (or on its behalf) for the Notes to be admitted to trading on the AIAF Fixed Income Securities Market in Spain [with effect from [•] / within 30 days of the Issue Date.]] </w:t>
            </w:r>
          </w:p>
        </w:tc>
        <w:tc>
          <w:tcPr>
            <w:tcW w:w="475" w:type="pct"/>
            <w:vMerge/>
            <w:tcMar>
              <w:left w:w="108" w:type="dxa"/>
            </w:tcMar>
          </w:tcPr>
          <w:p w14:paraId="6F938A23" w14:textId="77777777" w:rsidR="007409E1" w:rsidRDefault="007409E1">
            <w:pPr>
              <w:pStyle w:val="TableMarginNote"/>
              <w:spacing w:line="240" w:lineRule="auto"/>
            </w:pPr>
          </w:p>
        </w:tc>
      </w:tr>
      <w:tr w:rsidR="007409E1" w14:paraId="139AD46A" w14:textId="77777777">
        <w:trPr>
          <w:trHeight w:val="344"/>
        </w:trPr>
        <w:tc>
          <w:tcPr>
            <w:tcW w:w="353" w:type="pct"/>
            <w:vMerge/>
          </w:tcPr>
          <w:p w14:paraId="227BF79B" w14:textId="77777777" w:rsidR="007409E1" w:rsidRDefault="007409E1">
            <w:pPr>
              <w:pStyle w:val="ocNum4th2"/>
              <w:rPr>
                <w:sz w:val="22"/>
              </w:rPr>
            </w:pPr>
          </w:p>
        </w:tc>
        <w:tc>
          <w:tcPr>
            <w:tcW w:w="1925" w:type="pct"/>
          </w:tcPr>
          <w:p w14:paraId="08D6B081" w14:textId="77777777" w:rsidR="007409E1" w:rsidRDefault="007409E1">
            <w:pPr>
              <w:pStyle w:val="BodyText"/>
              <w:jc w:val="left"/>
              <w:rPr>
                <w:rFonts w:eastAsia="SimSun"/>
              </w:rPr>
            </w:pPr>
          </w:p>
        </w:tc>
        <w:tc>
          <w:tcPr>
            <w:tcW w:w="2247" w:type="pct"/>
          </w:tcPr>
          <w:p w14:paraId="2F3E0B5F" w14:textId="77777777" w:rsidR="007409E1" w:rsidRDefault="007409E1">
            <w:pPr>
              <w:pStyle w:val="BodyText"/>
            </w:pPr>
            <w:r>
              <w:t>(</w:t>
            </w:r>
            <w:r>
              <w:rPr>
                <w:i/>
              </w:rPr>
              <w:t>When documenting a fungible issue need to indicate that original Notes are already admitted to trading.)</w:t>
            </w:r>
          </w:p>
        </w:tc>
        <w:tc>
          <w:tcPr>
            <w:tcW w:w="475" w:type="pct"/>
            <w:vMerge/>
            <w:tcMar>
              <w:left w:w="108" w:type="dxa"/>
            </w:tcMar>
          </w:tcPr>
          <w:p w14:paraId="7A47126D" w14:textId="77777777" w:rsidR="007409E1" w:rsidRDefault="007409E1">
            <w:pPr>
              <w:pStyle w:val="TableMarginNote"/>
              <w:spacing w:line="240" w:lineRule="auto"/>
            </w:pPr>
          </w:p>
        </w:tc>
      </w:tr>
      <w:tr w:rsidR="007409E1" w14:paraId="7456CF60" w14:textId="77777777">
        <w:tc>
          <w:tcPr>
            <w:tcW w:w="353" w:type="pct"/>
          </w:tcPr>
          <w:p w14:paraId="35D3A0E1" w14:textId="77777777" w:rsidR="007409E1" w:rsidRDefault="007409E1">
            <w:pPr>
              <w:pStyle w:val="ocNum4th2"/>
              <w:numPr>
                <w:ilvl w:val="0"/>
                <w:numId w:val="0"/>
              </w:numPr>
              <w:ind w:left="680"/>
              <w:rPr>
                <w:sz w:val="22"/>
              </w:rPr>
            </w:pPr>
          </w:p>
        </w:tc>
        <w:tc>
          <w:tcPr>
            <w:tcW w:w="1925" w:type="pct"/>
          </w:tcPr>
          <w:p w14:paraId="12CF9E53" w14:textId="77777777" w:rsidR="007409E1" w:rsidRDefault="007409E1">
            <w:pPr>
              <w:pStyle w:val="BodyText"/>
              <w:jc w:val="left"/>
              <w:rPr>
                <w:rFonts w:eastAsia="SimSun"/>
              </w:rPr>
            </w:pPr>
            <w:r>
              <w:rPr>
                <w:rFonts w:eastAsia="SimSun"/>
              </w:rPr>
              <w:t>(iii)</w:t>
            </w:r>
            <w:r>
              <w:rPr>
                <w:rFonts w:eastAsia="SimSun"/>
              </w:rPr>
              <w:tab/>
            </w:r>
            <w:r>
              <w:rPr>
                <w:rFonts w:eastAsia="SimSun"/>
                <w:bCs/>
              </w:rPr>
              <w:t xml:space="preserve">Estimate of total expenses related </w:t>
            </w:r>
            <w:r>
              <w:rPr>
                <w:rFonts w:eastAsia="SimSun"/>
                <w:bCs/>
              </w:rPr>
              <w:tab/>
              <w:t>to admission to trading:</w:t>
            </w:r>
          </w:p>
        </w:tc>
        <w:tc>
          <w:tcPr>
            <w:tcW w:w="2247" w:type="pct"/>
          </w:tcPr>
          <w:p w14:paraId="41F98DAD" w14:textId="77777777" w:rsidR="007409E1" w:rsidRDefault="007409E1">
            <w:r>
              <w:t>[  ]</w:t>
            </w:r>
          </w:p>
        </w:tc>
        <w:tc>
          <w:tcPr>
            <w:tcW w:w="475" w:type="pct"/>
            <w:tcMar>
              <w:left w:w="108" w:type="dxa"/>
            </w:tcMar>
          </w:tcPr>
          <w:p w14:paraId="1DBCF02E" w14:textId="77777777" w:rsidR="007409E1" w:rsidRDefault="007409E1">
            <w:pPr>
              <w:pStyle w:val="TableMarginNote"/>
              <w:spacing w:line="240" w:lineRule="auto"/>
            </w:pPr>
          </w:p>
        </w:tc>
      </w:tr>
      <w:tr w:rsidR="007409E1" w14:paraId="3A4840DE" w14:textId="77777777">
        <w:tc>
          <w:tcPr>
            <w:tcW w:w="353" w:type="pct"/>
          </w:tcPr>
          <w:p w14:paraId="415E9EB2" w14:textId="77777777" w:rsidR="007409E1" w:rsidRDefault="007409E1">
            <w:pPr>
              <w:pStyle w:val="ocNum4th2"/>
              <w:keepNext/>
              <w:rPr>
                <w:sz w:val="22"/>
              </w:rPr>
            </w:pPr>
          </w:p>
        </w:tc>
        <w:tc>
          <w:tcPr>
            <w:tcW w:w="1925" w:type="pct"/>
          </w:tcPr>
          <w:p w14:paraId="65FAE036" w14:textId="77777777" w:rsidR="007409E1" w:rsidRDefault="007409E1">
            <w:pPr>
              <w:pStyle w:val="BodyText"/>
              <w:keepNext/>
              <w:jc w:val="left"/>
              <w:rPr>
                <w:b/>
                <w:bCs/>
              </w:rPr>
            </w:pPr>
            <w:r>
              <w:rPr>
                <w:b/>
                <w:bCs/>
              </w:rPr>
              <w:t>RATINGS</w:t>
            </w:r>
          </w:p>
        </w:tc>
        <w:tc>
          <w:tcPr>
            <w:tcW w:w="2247" w:type="pct"/>
          </w:tcPr>
          <w:p w14:paraId="647877BE" w14:textId="77777777" w:rsidR="007409E1" w:rsidRDefault="007409E1">
            <w:pPr>
              <w:pStyle w:val="BodyText"/>
              <w:keepNext/>
            </w:pPr>
            <w:r>
              <w:t>The Notes to be issued [have been/will not be] rated/[The following ratings reflect ratings assigned to Notes of this type issued under the Programme generally]:</w:t>
            </w:r>
          </w:p>
        </w:tc>
        <w:tc>
          <w:tcPr>
            <w:tcW w:w="475" w:type="pct"/>
            <w:tcMar>
              <w:left w:w="108" w:type="dxa"/>
            </w:tcMar>
          </w:tcPr>
          <w:p w14:paraId="7C96A516" w14:textId="77777777" w:rsidR="007409E1" w:rsidRDefault="007409E1">
            <w:pPr>
              <w:pStyle w:val="TableMarginNote"/>
              <w:keepNext/>
              <w:spacing w:line="240" w:lineRule="auto"/>
            </w:pPr>
          </w:p>
        </w:tc>
      </w:tr>
      <w:tr w:rsidR="007409E1" w14:paraId="06755ED3" w14:textId="77777777">
        <w:tc>
          <w:tcPr>
            <w:tcW w:w="353" w:type="pct"/>
          </w:tcPr>
          <w:p w14:paraId="00ED5281" w14:textId="77777777" w:rsidR="007409E1" w:rsidRDefault="007409E1">
            <w:pPr>
              <w:pStyle w:val="BodyText"/>
            </w:pPr>
          </w:p>
        </w:tc>
        <w:tc>
          <w:tcPr>
            <w:tcW w:w="1925" w:type="pct"/>
          </w:tcPr>
          <w:p w14:paraId="2B82C7C7" w14:textId="77777777" w:rsidR="007409E1" w:rsidRDefault="007409E1">
            <w:pPr>
              <w:pStyle w:val="BodyText"/>
              <w:keepNext/>
              <w:jc w:val="left"/>
              <w:rPr>
                <w:b/>
                <w:bCs/>
              </w:rPr>
            </w:pPr>
            <w:r>
              <w:t>Ratings:</w:t>
            </w:r>
          </w:p>
        </w:tc>
        <w:tc>
          <w:tcPr>
            <w:tcW w:w="2247" w:type="pct"/>
          </w:tcPr>
          <w:p w14:paraId="5336D783" w14:textId="77777777" w:rsidR="007409E1" w:rsidRDefault="007409E1">
            <w:pPr>
              <w:pStyle w:val="BodyText"/>
              <w:rPr>
                <w:i/>
                <w:iCs/>
              </w:rPr>
            </w:pPr>
            <w:r>
              <w:t>[Moody's:  [•]]</w:t>
            </w:r>
          </w:p>
        </w:tc>
        <w:tc>
          <w:tcPr>
            <w:tcW w:w="475" w:type="pct"/>
            <w:tcMar>
              <w:left w:w="108" w:type="dxa"/>
            </w:tcMar>
          </w:tcPr>
          <w:p w14:paraId="79F6A719" w14:textId="77777777" w:rsidR="007409E1" w:rsidRDefault="007409E1">
            <w:pPr>
              <w:pStyle w:val="TableMarginNote"/>
              <w:spacing w:line="240" w:lineRule="auto"/>
            </w:pPr>
          </w:p>
        </w:tc>
      </w:tr>
      <w:tr w:rsidR="007409E1" w14:paraId="20DEA8A4" w14:textId="77777777">
        <w:tc>
          <w:tcPr>
            <w:tcW w:w="353" w:type="pct"/>
          </w:tcPr>
          <w:p w14:paraId="5FC37820" w14:textId="77777777" w:rsidR="007409E1" w:rsidRDefault="007409E1">
            <w:pPr>
              <w:pStyle w:val="BodyText"/>
            </w:pPr>
          </w:p>
        </w:tc>
        <w:tc>
          <w:tcPr>
            <w:tcW w:w="1925" w:type="pct"/>
          </w:tcPr>
          <w:p w14:paraId="68E45BA8" w14:textId="77777777" w:rsidR="007409E1" w:rsidRDefault="007409E1">
            <w:pPr>
              <w:pStyle w:val="BodyText"/>
              <w:jc w:val="left"/>
            </w:pPr>
          </w:p>
        </w:tc>
        <w:tc>
          <w:tcPr>
            <w:tcW w:w="2247" w:type="pct"/>
          </w:tcPr>
          <w:p w14:paraId="1B9D3BC9" w14:textId="77777777" w:rsidR="007409E1" w:rsidRDefault="007409E1">
            <w:pPr>
              <w:pStyle w:val="BodyText"/>
              <w:rPr>
                <w:i/>
                <w:iCs/>
              </w:rPr>
            </w:pPr>
            <w:r>
              <w:t>[Fitch:  [•]]</w:t>
            </w:r>
          </w:p>
        </w:tc>
        <w:tc>
          <w:tcPr>
            <w:tcW w:w="475" w:type="pct"/>
            <w:tcMar>
              <w:left w:w="108" w:type="dxa"/>
            </w:tcMar>
          </w:tcPr>
          <w:p w14:paraId="7A0B5C3E" w14:textId="77777777" w:rsidR="007409E1" w:rsidRDefault="007409E1">
            <w:pPr>
              <w:pStyle w:val="TableMarginNote"/>
              <w:spacing w:line="240" w:lineRule="auto"/>
            </w:pPr>
          </w:p>
        </w:tc>
      </w:tr>
      <w:tr w:rsidR="007409E1" w14:paraId="21AF6C29" w14:textId="77777777">
        <w:tc>
          <w:tcPr>
            <w:tcW w:w="353" w:type="pct"/>
          </w:tcPr>
          <w:p w14:paraId="18F867A2" w14:textId="77777777" w:rsidR="007409E1" w:rsidRDefault="007409E1">
            <w:pPr>
              <w:pStyle w:val="BodyText"/>
            </w:pPr>
          </w:p>
        </w:tc>
        <w:tc>
          <w:tcPr>
            <w:tcW w:w="1925" w:type="pct"/>
          </w:tcPr>
          <w:p w14:paraId="0CAC7358" w14:textId="77777777" w:rsidR="007409E1" w:rsidRDefault="007409E1">
            <w:pPr>
              <w:pStyle w:val="BodyText"/>
              <w:jc w:val="left"/>
            </w:pPr>
          </w:p>
        </w:tc>
        <w:tc>
          <w:tcPr>
            <w:tcW w:w="2247" w:type="pct"/>
          </w:tcPr>
          <w:p w14:paraId="4ED1A101" w14:textId="77777777" w:rsidR="007409E1" w:rsidRDefault="007409E1">
            <w:pPr>
              <w:pStyle w:val="BodyText"/>
              <w:rPr>
                <w:i/>
                <w:iCs/>
              </w:rPr>
            </w:pPr>
            <w:r>
              <w:t>[[Other]:  [•]]</w:t>
            </w:r>
          </w:p>
        </w:tc>
        <w:tc>
          <w:tcPr>
            <w:tcW w:w="475" w:type="pct"/>
            <w:tcMar>
              <w:left w:w="108" w:type="dxa"/>
            </w:tcMar>
          </w:tcPr>
          <w:p w14:paraId="5B1A7961" w14:textId="77777777" w:rsidR="007409E1" w:rsidRDefault="007409E1">
            <w:pPr>
              <w:pStyle w:val="TableMarginNote"/>
              <w:spacing w:line="240" w:lineRule="auto"/>
            </w:pPr>
          </w:p>
        </w:tc>
      </w:tr>
      <w:tr w:rsidR="004B4F9A" w14:paraId="7A300453" w14:textId="77777777">
        <w:tc>
          <w:tcPr>
            <w:tcW w:w="353" w:type="pct"/>
          </w:tcPr>
          <w:p w14:paraId="61D52647" w14:textId="77777777" w:rsidR="004B4F9A" w:rsidRDefault="004B4F9A">
            <w:pPr>
              <w:pStyle w:val="BodyText"/>
            </w:pPr>
          </w:p>
        </w:tc>
        <w:tc>
          <w:tcPr>
            <w:tcW w:w="1925" w:type="pct"/>
          </w:tcPr>
          <w:p w14:paraId="492A5346" w14:textId="77777777" w:rsidR="004B4F9A" w:rsidRDefault="004B4F9A">
            <w:pPr>
              <w:pStyle w:val="BodyText"/>
              <w:jc w:val="left"/>
              <w:rPr>
                <w:i/>
                <w:iCs/>
              </w:rPr>
            </w:pPr>
          </w:p>
        </w:tc>
        <w:tc>
          <w:tcPr>
            <w:tcW w:w="2247" w:type="pct"/>
          </w:tcPr>
          <w:p w14:paraId="77C98A54" w14:textId="77777777" w:rsidR="004B4F9A" w:rsidRDefault="004B4F9A">
            <w:pPr>
              <w:pStyle w:val="BodyText"/>
            </w:pPr>
            <w:r>
              <w:t>[</w:t>
            </w:r>
            <w:r w:rsidRPr="004B4F9A">
              <w:rPr>
                <w:i/>
              </w:rPr>
              <w:t>Need to include a brief explanation of the meaning of the ratings if this has previously been published by the rating provider</w:t>
            </w:r>
            <w:r>
              <w:t>]</w:t>
            </w:r>
          </w:p>
          <w:p w14:paraId="09CCB9EC" w14:textId="77777777" w:rsidR="006C0B2A" w:rsidRPr="006C0B2A" w:rsidRDefault="006C0B2A" w:rsidP="006C0B2A">
            <w:pPr>
              <w:pStyle w:val="BodyText"/>
              <w:rPr>
                <w:i/>
                <w:iCs/>
              </w:rPr>
            </w:pPr>
            <w:r w:rsidRPr="006C0B2A">
              <w:rPr>
                <w:i/>
                <w:iCs/>
              </w:rPr>
              <w:t>Option 1 – Credit rating agency established in the</w:t>
            </w:r>
          </w:p>
          <w:p w14:paraId="0E053A86" w14:textId="77777777" w:rsidR="006C0B2A" w:rsidRDefault="006C0B2A" w:rsidP="006C0B2A">
            <w:pPr>
              <w:pStyle w:val="BodyText"/>
            </w:pPr>
            <w:r>
              <w:t>EEA and registered under the CRA Regulation</w:t>
            </w:r>
          </w:p>
        </w:tc>
        <w:tc>
          <w:tcPr>
            <w:tcW w:w="475" w:type="pct"/>
            <w:tcMar>
              <w:left w:w="108" w:type="dxa"/>
            </w:tcMar>
          </w:tcPr>
          <w:p w14:paraId="79A2EB76" w14:textId="77777777" w:rsidR="004B4F9A" w:rsidRDefault="004B4F9A">
            <w:pPr>
              <w:pStyle w:val="TableMarginNote"/>
              <w:spacing w:line="240" w:lineRule="auto"/>
            </w:pPr>
          </w:p>
        </w:tc>
      </w:tr>
      <w:tr w:rsidR="007409E1" w14:paraId="67248477" w14:textId="77777777">
        <w:tc>
          <w:tcPr>
            <w:tcW w:w="353" w:type="pct"/>
          </w:tcPr>
          <w:p w14:paraId="1F22EB1A" w14:textId="77777777" w:rsidR="007409E1" w:rsidRDefault="007409E1">
            <w:pPr>
              <w:pStyle w:val="BodyText"/>
            </w:pPr>
          </w:p>
        </w:tc>
        <w:tc>
          <w:tcPr>
            <w:tcW w:w="1925" w:type="pct"/>
          </w:tcPr>
          <w:p w14:paraId="19A1FD2B" w14:textId="77777777" w:rsidR="007409E1" w:rsidRDefault="007409E1">
            <w:pPr>
              <w:pStyle w:val="BodyText"/>
              <w:jc w:val="left"/>
              <w:rPr>
                <w:i/>
                <w:iCs/>
              </w:rPr>
            </w:pPr>
          </w:p>
        </w:tc>
        <w:tc>
          <w:tcPr>
            <w:tcW w:w="2247" w:type="pct"/>
          </w:tcPr>
          <w:p w14:paraId="767A215A" w14:textId="77777777" w:rsidR="007409E1" w:rsidRDefault="007409E1">
            <w:pPr>
              <w:pStyle w:val="BodyText"/>
            </w:pPr>
            <w:r>
              <w:t>[</w:t>
            </w:r>
            <w:r>
              <w:rPr>
                <w:i/>
                <w:iCs/>
              </w:rPr>
              <w:t>Insert legal name of particular credit rating agency entity providing rating</w:t>
            </w:r>
            <w:r>
              <w:t>] is established in the EEA and registered under Regulation (EU) No 1060/2009, as amended (the "</w:t>
            </w:r>
            <w:r>
              <w:rPr>
                <w:b/>
                <w:bCs/>
              </w:rPr>
              <w:t>CRA Regulation</w:t>
            </w:r>
            <w:r>
              <w:t>").</w:t>
            </w:r>
          </w:p>
          <w:p w14:paraId="465E6584" w14:textId="77777777" w:rsidR="006C0B2A" w:rsidRPr="00AB6F79" w:rsidRDefault="006C0B2A" w:rsidP="006C0B2A">
            <w:pPr>
              <w:pStyle w:val="BodyText"/>
              <w:rPr>
                <w:i/>
                <w:iCs/>
              </w:rPr>
            </w:pPr>
            <w:r w:rsidRPr="00AB6F79">
              <w:rPr>
                <w:i/>
                <w:iCs/>
              </w:rPr>
              <w:t>Option 2 - Credit rating agency not established in the EEA but relevant rating is endorsed by a credit rating agency which is established and registered under the CRA Regulation</w:t>
            </w:r>
          </w:p>
          <w:p w14:paraId="2E69617B" w14:textId="77777777" w:rsidR="006C0B2A" w:rsidRPr="00AB6F79" w:rsidRDefault="006C0B2A" w:rsidP="006C0B2A">
            <w:pPr>
              <w:pStyle w:val="BodyText"/>
              <w:rPr>
                <w:i/>
                <w:iCs/>
              </w:rPr>
            </w:pPr>
            <w:r w:rsidRPr="00AB6F79">
              <w:rPr>
                <w:i/>
                <w:iCs/>
              </w:rPr>
              <w:t xml:space="preserve">[Insert legal name of particular credit rating agency entity providing rating] </w:t>
            </w:r>
            <w:r w:rsidRPr="00AB6F79">
              <w:t>is not established</w:t>
            </w:r>
            <w:r w:rsidRPr="00AB6F79">
              <w:rPr>
                <w:i/>
                <w:iCs/>
              </w:rPr>
              <w:t xml:space="preserve"> </w:t>
            </w:r>
            <w:r w:rsidRPr="00AB6F79">
              <w:t>in the EEA but the rating it has given to the Notes is endorsed by [</w:t>
            </w:r>
            <w:r w:rsidRPr="00AB6F79">
              <w:rPr>
                <w:i/>
                <w:iCs/>
              </w:rPr>
              <w:t>insert legal name of credit rating agency</w:t>
            </w:r>
            <w:r w:rsidRPr="00AB6F79">
              <w:t>], which is established in the EEA and registered under Regulation (EU) No 1060/2009, as amended (the "CRA Regulation").</w:t>
            </w:r>
          </w:p>
          <w:p w14:paraId="1BCD6E13" w14:textId="77777777" w:rsidR="006C0B2A" w:rsidRPr="00AB6F79" w:rsidRDefault="006C0B2A" w:rsidP="006C0B2A">
            <w:pPr>
              <w:pStyle w:val="BodyText"/>
              <w:rPr>
                <w:i/>
                <w:iCs/>
              </w:rPr>
            </w:pPr>
            <w:r w:rsidRPr="00AB6F79">
              <w:rPr>
                <w:i/>
                <w:iCs/>
              </w:rPr>
              <w:t>Option 3 - Credit rating agency is not established in the EEA and relevant rating is not endorsed under the CRA Regulation but credit rating agency is certified under the CRA Regulation</w:t>
            </w:r>
          </w:p>
          <w:p w14:paraId="33047FD5" w14:textId="77777777" w:rsidR="006C0B2A" w:rsidRPr="00AB6F79" w:rsidRDefault="006C0B2A" w:rsidP="006C0B2A">
            <w:pPr>
              <w:pStyle w:val="BodyText"/>
            </w:pPr>
            <w:r w:rsidRPr="00AB6F79">
              <w:t>[</w:t>
            </w:r>
            <w:r w:rsidRPr="00AB6F79">
              <w:rPr>
                <w:i/>
                <w:iCs/>
              </w:rPr>
              <w:t>Insert legal name of particular credit rating agency entity providing rating</w:t>
            </w:r>
            <w:r w:rsidRPr="00AB6F79">
              <w:t>] is not established in the EEA but is certified under Regulation (EU) No 1060/2009, as amended (the "CRA Regulation").</w:t>
            </w:r>
          </w:p>
          <w:p w14:paraId="4EA8D94E" w14:textId="77777777" w:rsidR="006C0B2A" w:rsidRPr="00AB6F79" w:rsidRDefault="006C0B2A" w:rsidP="006C0B2A">
            <w:pPr>
              <w:pStyle w:val="BodyText"/>
              <w:rPr>
                <w:i/>
                <w:iCs/>
              </w:rPr>
            </w:pPr>
            <w:r w:rsidRPr="00AB6F79">
              <w:rPr>
                <w:i/>
                <w:iCs/>
              </w:rPr>
              <w:t>Option 4 - Credit rating agency neither established in the EEA nor certified under the CRA Regulation and relevant rating is not endorsed under the CRA Regulation</w:t>
            </w:r>
          </w:p>
          <w:p w14:paraId="3EA577C0" w14:textId="77777777" w:rsidR="006C0B2A" w:rsidRPr="00AB6F79" w:rsidRDefault="006C0B2A" w:rsidP="006C0B2A">
            <w:pPr>
              <w:pStyle w:val="BodyText"/>
            </w:pPr>
            <w:r w:rsidRPr="00AB6F79">
              <w:t>[</w:t>
            </w:r>
            <w:r w:rsidRPr="00AB6F79">
              <w:rPr>
                <w:i/>
                <w:iCs/>
              </w:rPr>
              <w:t>Insert legal name of particular credit rating agency entity providing rating</w:t>
            </w:r>
            <w:r w:rsidRPr="00AB6F79">
              <w:t>] is not established in the EEA and is not certified under Regulation (EU) No 1060/2009, as amended (the "CRA Regulation") and the rating it has given to the Notes is not endorsed by a credit rating agency established in the EEA and registered under the CRA Regulation.</w:t>
            </w:r>
          </w:p>
          <w:p w14:paraId="6CEFE899" w14:textId="77777777" w:rsidR="006C0B2A" w:rsidRPr="00AB6F79" w:rsidRDefault="006C0B2A" w:rsidP="006C0B2A">
            <w:pPr>
              <w:pStyle w:val="BodyText"/>
              <w:rPr>
                <w:i/>
                <w:iCs/>
              </w:rPr>
            </w:pPr>
            <w:r w:rsidRPr="00AB6F79">
              <w:rPr>
                <w:i/>
                <w:iCs/>
              </w:rPr>
              <w:t>Option 5- Credit rating agency established in the UK and registered under the UK CRA Regulation</w:t>
            </w:r>
          </w:p>
          <w:p w14:paraId="4ABB2C58" w14:textId="77777777" w:rsidR="006C0B2A" w:rsidRPr="00AB6F79" w:rsidRDefault="006C0B2A" w:rsidP="006C0B2A">
            <w:pPr>
              <w:pStyle w:val="BodyText"/>
            </w:pPr>
            <w:r w:rsidRPr="00AB6F79">
              <w:t>[</w:t>
            </w:r>
            <w:r w:rsidRPr="00AB6F79">
              <w:rPr>
                <w:i/>
                <w:iCs/>
              </w:rPr>
              <w:t>Insert legal name of particular credit rating agency entity providing rating</w:t>
            </w:r>
            <w:r w:rsidRPr="00AB6F79">
              <w:t>] is established in the UK and registered under the UK CRA Regulation.</w:t>
            </w:r>
          </w:p>
          <w:p w14:paraId="09A10211" w14:textId="77777777" w:rsidR="006C0B2A" w:rsidRPr="00AB6F79" w:rsidRDefault="006C0B2A" w:rsidP="006C0B2A">
            <w:pPr>
              <w:pStyle w:val="BodyText"/>
              <w:rPr>
                <w:i/>
                <w:iCs/>
              </w:rPr>
            </w:pPr>
            <w:r w:rsidRPr="00AB6F79">
              <w:rPr>
                <w:i/>
                <w:iCs/>
              </w:rPr>
              <w:t>Option 6 - Credit rating agency established in a third country but relevant rating is endorsed by a credit rating agency which is established and registered under the UK CRA Regulation</w:t>
            </w:r>
          </w:p>
          <w:p w14:paraId="00D8EE57" w14:textId="77777777" w:rsidR="006C0B2A" w:rsidRPr="00AB6F79" w:rsidRDefault="006C0B2A" w:rsidP="006C0B2A">
            <w:pPr>
              <w:pStyle w:val="BodyText"/>
            </w:pPr>
            <w:r w:rsidRPr="00AB6F79">
              <w:t>[</w:t>
            </w:r>
            <w:r w:rsidRPr="00AB6F79">
              <w:rPr>
                <w:i/>
                <w:iCs/>
              </w:rPr>
              <w:t>Insert legal name of particular credit rating agency entity providing rating</w:t>
            </w:r>
            <w:r w:rsidRPr="00AB6F79">
              <w:t>] is established in a third country but the rating it has given to the Notes is endorsed by [</w:t>
            </w:r>
            <w:r w:rsidRPr="00AB6F79">
              <w:rPr>
                <w:i/>
                <w:iCs/>
              </w:rPr>
              <w:t>insert legal name of credit rating agency</w:t>
            </w:r>
            <w:r w:rsidRPr="00AB6F79">
              <w:t>], which is established in the UK and registered under the UK CRA Regulation.</w:t>
            </w:r>
          </w:p>
          <w:p w14:paraId="1D3C40DF" w14:textId="77777777" w:rsidR="006C0B2A" w:rsidRPr="006C0B2A" w:rsidRDefault="006C0B2A" w:rsidP="006C0B2A">
            <w:pPr>
              <w:pStyle w:val="BodyText"/>
              <w:rPr>
                <w:i/>
                <w:iCs/>
              </w:rPr>
            </w:pPr>
            <w:r w:rsidRPr="006C0B2A">
              <w:rPr>
                <w:i/>
                <w:iCs/>
              </w:rPr>
              <w:t>Option 7 - Credit rating agency is established in a third country and relevant rating is not endorsed under the UK CRA Regulation but credit rating agency is certified under the UK CRA Regulation</w:t>
            </w:r>
          </w:p>
          <w:p w14:paraId="2B916682" w14:textId="77777777" w:rsidR="006C0B2A" w:rsidRDefault="006C0B2A" w:rsidP="006C0B2A">
            <w:pPr>
              <w:pStyle w:val="BodyText"/>
              <w:rPr>
                <w:b/>
                <w:bCs/>
                <w:i/>
                <w:iCs/>
              </w:rPr>
            </w:pPr>
            <w:r w:rsidRPr="00AB6F79">
              <w:rPr>
                <w:i/>
                <w:iCs/>
              </w:rPr>
              <w:t xml:space="preserve">[Insert legal name of particular credit rating agency entity providing rating] </w:t>
            </w:r>
            <w:r w:rsidRPr="00AB6F79">
              <w:t>is established in a third country but is certified under the UK CRA Regulation.</w:t>
            </w:r>
          </w:p>
        </w:tc>
        <w:tc>
          <w:tcPr>
            <w:tcW w:w="475" w:type="pct"/>
            <w:tcMar>
              <w:left w:w="108" w:type="dxa"/>
            </w:tcMar>
          </w:tcPr>
          <w:p w14:paraId="041650C0" w14:textId="77777777" w:rsidR="007409E1" w:rsidRDefault="007409E1">
            <w:pPr>
              <w:pStyle w:val="TableMarginNote"/>
              <w:spacing w:line="240" w:lineRule="auto"/>
            </w:pPr>
          </w:p>
        </w:tc>
      </w:tr>
      <w:tr w:rsidR="007409E1" w14:paraId="4EE235E1" w14:textId="77777777">
        <w:tc>
          <w:tcPr>
            <w:tcW w:w="353" w:type="pct"/>
          </w:tcPr>
          <w:p w14:paraId="7EFABFF3" w14:textId="77777777" w:rsidR="007409E1" w:rsidRDefault="007409E1">
            <w:pPr>
              <w:pStyle w:val="ocNum4th2"/>
              <w:keepNext/>
              <w:rPr>
                <w:sz w:val="22"/>
              </w:rPr>
            </w:pPr>
          </w:p>
        </w:tc>
        <w:tc>
          <w:tcPr>
            <w:tcW w:w="4172" w:type="pct"/>
            <w:gridSpan w:val="2"/>
          </w:tcPr>
          <w:p w14:paraId="74A2D964" w14:textId="77777777" w:rsidR="007409E1" w:rsidRDefault="007409E1">
            <w:pPr>
              <w:pStyle w:val="BodyText"/>
              <w:keepNext/>
            </w:pPr>
            <w:r>
              <w:rPr>
                <w:b/>
                <w:bCs/>
              </w:rPr>
              <w:t>INTERESTS OF NATURAL AND LEGAL PERSONS INVOLVED IN THE ISSUE/OFFER</w:t>
            </w:r>
          </w:p>
        </w:tc>
        <w:tc>
          <w:tcPr>
            <w:tcW w:w="475" w:type="pct"/>
            <w:tcMar>
              <w:left w:w="108" w:type="dxa"/>
            </w:tcMar>
          </w:tcPr>
          <w:p w14:paraId="267AC4F2" w14:textId="77777777" w:rsidR="007409E1" w:rsidRDefault="007409E1">
            <w:pPr>
              <w:pStyle w:val="TableMarginNote"/>
              <w:keepNext/>
              <w:spacing w:line="240" w:lineRule="auto"/>
            </w:pPr>
          </w:p>
        </w:tc>
      </w:tr>
      <w:tr w:rsidR="007409E1" w14:paraId="2D779AA3" w14:textId="77777777">
        <w:tc>
          <w:tcPr>
            <w:tcW w:w="353" w:type="pct"/>
          </w:tcPr>
          <w:p w14:paraId="5739DAE5" w14:textId="77777777" w:rsidR="007409E1" w:rsidRDefault="007409E1">
            <w:pPr>
              <w:pStyle w:val="BodyText"/>
            </w:pPr>
          </w:p>
        </w:tc>
        <w:tc>
          <w:tcPr>
            <w:tcW w:w="4172" w:type="pct"/>
            <w:gridSpan w:val="2"/>
          </w:tcPr>
          <w:p w14:paraId="618F5B15" w14:textId="77777777" w:rsidR="007409E1" w:rsidRDefault="007409E1">
            <w:pPr>
              <w:pStyle w:val="BodyText"/>
              <w:rPr>
                <w:i/>
              </w:rPr>
            </w:pPr>
            <w:r>
              <w:t>[(</w:t>
            </w:r>
            <w:r>
              <w:rPr>
                <w:i/>
              </w:rPr>
              <w:t>Need to include a description of any interest, including conflict</w:t>
            </w:r>
            <w:r w:rsidR="004B4F9A">
              <w:rPr>
                <w:i/>
              </w:rPr>
              <w:t xml:space="preserve"> of interest</w:t>
            </w:r>
            <w:r>
              <w:rPr>
                <w:i/>
              </w:rPr>
              <w:t>, that is material to the issue/offer, detailing the persons involved and the nature of the interest. May be satisfied by the inclusion of the statement below:</w:t>
            </w:r>
            <w:r>
              <w:t>)]</w:t>
            </w:r>
          </w:p>
          <w:p w14:paraId="53A610F1" w14:textId="77777777" w:rsidR="007409E1" w:rsidRDefault="007409E1">
            <w:pPr>
              <w:pStyle w:val="BodyText"/>
            </w:pPr>
            <w:r>
              <w:t>[Save for any fees payable to the [Managers/Dealers], so far as the Issuer is aware, no person involved in the offer of the Notes has an interest material to such offer.  The [Managers/Dealers] and their affiliates have engaged, and may in the future engage, in investment banking and/or commercial banking transactions with, and may perform other services for, the Issuer  and its affiliates in the ordinary course of business.  (</w:t>
            </w:r>
            <w:r>
              <w:rPr>
                <w:i/>
              </w:rPr>
              <w:t>Amend as appropriate if there are other interests</w:t>
            </w:r>
            <w:r>
              <w:t>)]</w:t>
            </w:r>
          </w:p>
          <w:p w14:paraId="24E4BF00" w14:textId="77777777" w:rsidR="007409E1" w:rsidRDefault="007409E1">
            <w:pPr>
              <w:pStyle w:val="BodyText"/>
              <w:rPr>
                <w:rFonts w:eastAsia="SimSun"/>
              </w:rPr>
            </w:pPr>
            <w:r>
              <w:t>[(</w:t>
            </w:r>
            <w:r>
              <w:rPr>
                <w:i/>
              </w:rPr>
              <w:t xml:space="preserve">When adding any other description, consideration should be given as to whether such matters described constitute “significant new factors” and consequently trigger the need for a supplement to the Prospectus under Article </w:t>
            </w:r>
            <w:r w:rsidR="003F1099">
              <w:rPr>
                <w:i/>
              </w:rPr>
              <w:t>23</w:t>
            </w:r>
            <w:r>
              <w:rPr>
                <w:i/>
              </w:rPr>
              <w:t xml:space="preserve"> of the Prospectus </w:t>
            </w:r>
            <w:r w:rsidR="00312966">
              <w:rPr>
                <w:i/>
              </w:rPr>
              <w:t>Regulation</w:t>
            </w:r>
            <w:r>
              <w:rPr>
                <w:i/>
              </w:rPr>
              <w:t>.</w:t>
            </w:r>
            <w:r>
              <w:t>)]</w:t>
            </w:r>
          </w:p>
        </w:tc>
        <w:tc>
          <w:tcPr>
            <w:tcW w:w="475" w:type="pct"/>
            <w:tcMar>
              <w:left w:w="108" w:type="dxa"/>
            </w:tcMar>
          </w:tcPr>
          <w:p w14:paraId="7680277B" w14:textId="77777777" w:rsidR="007409E1" w:rsidRDefault="007409E1">
            <w:pPr>
              <w:pStyle w:val="TableMarginNote"/>
              <w:spacing w:line="240" w:lineRule="auto"/>
            </w:pPr>
          </w:p>
        </w:tc>
      </w:tr>
      <w:tr w:rsidR="00D42069" w14:paraId="1957FFEB" w14:textId="77777777" w:rsidTr="00D42069">
        <w:tc>
          <w:tcPr>
            <w:tcW w:w="353" w:type="pct"/>
          </w:tcPr>
          <w:p w14:paraId="607429EB" w14:textId="77777777" w:rsidR="00D42069" w:rsidRDefault="00D42069">
            <w:pPr>
              <w:pStyle w:val="ocNum4th2"/>
              <w:rPr>
                <w:sz w:val="22"/>
              </w:rPr>
            </w:pPr>
          </w:p>
        </w:tc>
        <w:tc>
          <w:tcPr>
            <w:tcW w:w="4172" w:type="pct"/>
            <w:gridSpan w:val="2"/>
          </w:tcPr>
          <w:p w14:paraId="6378F9E1" w14:textId="77777777" w:rsidR="00D42069" w:rsidRPr="00D42069" w:rsidRDefault="00D42069" w:rsidP="00D42069">
            <w:pPr>
              <w:pStyle w:val="BodyText"/>
              <w:keepNext/>
              <w:rPr>
                <w:b/>
                <w:bCs/>
              </w:rPr>
            </w:pPr>
            <w:r>
              <w:rPr>
                <w:b/>
                <w:bCs/>
              </w:rPr>
              <w:t>REASONS FOR THE OFFER AND ESTIMATED NET PROCEEDS</w:t>
            </w:r>
          </w:p>
        </w:tc>
        <w:tc>
          <w:tcPr>
            <w:tcW w:w="475" w:type="pct"/>
            <w:tcMar>
              <w:left w:w="108" w:type="dxa"/>
            </w:tcMar>
          </w:tcPr>
          <w:p w14:paraId="331720F4" w14:textId="77777777" w:rsidR="00D42069" w:rsidRDefault="00D42069">
            <w:pPr>
              <w:pStyle w:val="TableMarginNote"/>
              <w:spacing w:line="240" w:lineRule="auto"/>
            </w:pPr>
          </w:p>
        </w:tc>
      </w:tr>
      <w:tr w:rsidR="00D42069" w14:paraId="5969287A" w14:textId="77777777">
        <w:tc>
          <w:tcPr>
            <w:tcW w:w="353" w:type="pct"/>
          </w:tcPr>
          <w:p w14:paraId="60019497" w14:textId="77777777" w:rsidR="00D42069" w:rsidRDefault="00D42069" w:rsidP="00D42069">
            <w:pPr>
              <w:pStyle w:val="BodyText"/>
            </w:pPr>
          </w:p>
        </w:tc>
        <w:tc>
          <w:tcPr>
            <w:tcW w:w="1925" w:type="pct"/>
          </w:tcPr>
          <w:p w14:paraId="37AE43DE" w14:textId="77777777" w:rsidR="00D42069" w:rsidRPr="003F1099" w:rsidRDefault="00D42069" w:rsidP="00D42069">
            <w:pPr>
              <w:pStyle w:val="BodyText"/>
              <w:jc w:val="left"/>
              <w:rPr>
                <w:bCs/>
              </w:rPr>
            </w:pPr>
            <w:r w:rsidRPr="003F1099">
              <w:rPr>
                <w:bCs/>
              </w:rPr>
              <w:t>Reasons for the offer:</w:t>
            </w:r>
          </w:p>
        </w:tc>
        <w:tc>
          <w:tcPr>
            <w:tcW w:w="2247" w:type="pct"/>
          </w:tcPr>
          <w:p w14:paraId="336E5B6A" w14:textId="77777777" w:rsidR="003558FD" w:rsidRDefault="003558FD" w:rsidP="003558FD">
            <w:pPr>
              <w:pStyle w:val="BodyText"/>
            </w:pPr>
            <w:r>
              <w:t xml:space="preserve">The net proceeds of the issue of the Notes will be used [for the construction of the Spanish high speed rail infrastructure/ for general corporate and financing purposes /to finance and/or refinance, in whole or in part, Eligible </w:t>
            </w:r>
            <w:r w:rsidR="00743643">
              <w:t>Green</w:t>
            </w:r>
            <w:r>
              <w:t xml:space="preserve"> Projects].</w:t>
            </w:r>
          </w:p>
          <w:p w14:paraId="2BB5BB17" w14:textId="77777777" w:rsidR="00D42069" w:rsidRPr="00E7172C" w:rsidRDefault="003558FD" w:rsidP="003558FD">
            <w:pPr>
              <w:pStyle w:val="BodyText"/>
            </w:pPr>
            <w:r>
              <w:t>See “Use of Proceeds” in Base Prospectus</w:t>
            </w:r>
          </w:p>
        </w:tc>
        <w:tc>
          <w:tcPr>
            <w:tcW w:w="475" w:type="pct"/>
            <w:tcMar>
              <w:left w:w="108" w:type="dxa"/>
            </w:tcMar>
          </w:tcPr>
          <w:p w14:paraId="75D72311" w14:textId="77777777" w:rsidR="00D42069" w:rsidRDefault="00D42069" w:rsidP="00D42069">
            <w:pPr>
              <w:pStyle w:val="TableMarginNote"/>
              <w:spacing w:line="240" w:lineRule="auto"/>
            </w:pPr>
          </w:p>
        </w:tc>
      </w:tr>
      <w:tr w:rsidR="00E16F66" w14:paraId="56D0BE64" w14:textId="77777777">
        <w:tc>
          <w:tcPr>
            <w:tcW w:w="353" w:type="pct"/>
          </w:tcPr>
          <w:p w14:paraId="3242C057" w14:textId="77777777" w:rsidR="00E16F66" w:rsidRDefault="00E16F66" w:rsidP="00D42069">
            <w:pPr>
              <w:pStyle w:val="BodyText"/>
            </w:pPr>
          </w:p>
        </w:tc>
        <w:tc>
          <w:tcPr>
            <w:tcW w:w="1925" w:type="pct"/>
          </w:tcPr>
          <w:p w14:paraId="45D99249" w14:textId="77777777" w:rsidR="00E16F66" w:rsidRPr="003F1099" w:rsidRDefault="00E16F66" w:rsidP="00D42069">
            <w:pPr>
              <w:pStyle w:val="BodyText"/>
              <w:jc w:val="left"/>
              <w:rPr>
                <w:bCs/>
              </w:rPr>
            </w:pPr>
            <w:r>
              <w:rPr>
                <w:bCs/>
              </w:rPr>
              <w:t>Estimated net proceeds:</w:t>
            </w:r>
          </w:p>
        </w:tc>
        <w:tc>
          <w:tcPr>
            <w:tcW w:w="2247" w:type="pct"/>
          </w:tcPr>
          <w:p w14:paraId="46CDDBB4" w14:textId="77777777" w:rsidR="00E16F66" w:rsidRDefault="00E16F66" w:rsidP="00E16F66">
            <w:pPr>
              <w:pStyle w:val="BodyText"/>
            </w:pPr>
            <w:r>
              <w:t>[•]</w:t>
            </w:r>
          </w:p>
        </w:tc>
        <w:tc>
          <w:tcPr>
            <w:tcW w:w="475" w:type="pct"/>
            <w:tcMar>
              <w:left w:w="108" w:type="dxa"/>
            </w:tcMar>
          </w:tcPr>
          <w:p w14:paraId="6272526B" w14:textId="77777777" w:rsidR="00E16F66" w:rsidRDefault="00E16F66" w:rsidP="00D42069">
            <w:pPr>
              <w:pStyle w:val="TableMarginNote"/>
              <w:spacing w:line="240" w:lineRule="auto"/>
            </w:pPr>
          </w:p>
        </w:tc>
      </w:tr>
      <w:tr w:rsidR="00D42069" w14:paraId="535B2F7E" w14:textId="77777777">
        <w:tc>
          <w:tcPr>
            <w:tcW w:w="353" w:type="pct"/>
          </w:tcPr>
          <w:p w14:paraId="2124F545" w14:textId="77777777" w:rsidR="00D42069" w:rsidRDefault="00D42069" w:rsidP="00D42069">
            <w:pPr>
              <w:pStyle w:val="ocNum4th2"/>
              <w:rPr>
                <w:sz w:val="22"/>
              </w:rPr>
            </w:pPr>
          </w:p>
        </w:tc>
        <w:tc>
          <w:tcPr>
            <w:tcW w:w="1925" w:type="pct"/>
          </w:tcPr>
          <w:p w14:paraId="21E223F9" w14:textId="77777777" w:rsidR="00D42069" w:rsidRDefault="00D42069" w:rsidP="00D42069">
            <w:pPr>
              <w:pStyle w:val="BodyText"/>
              <w:jc w:val="left"/>
              <w:rPr>
                <w:b/>
                <w:bCs/>
              </w:rPr>
            </w:pPr>
            <w:r>
              <w:rPr>
                <w:b/>
                <w:bCs/>
              </w:rPr>
              <w:t>[</w:t>
            </w:r>
            <w:r>
              <w:rPr>
                <w:b/>
                <w:bCs/>
                <w:i/>
                <w:iCs/>
              </w:rPr>
              <w:t>Fixed Rate Notes only</w:t>
            </w:r>
            <w:r>
              <w:rPr>
                <w:b/>
                <w:bCs/>
              </w:rPr>
              <w:t xml:space="preserve"> – YIELD</w:t>
            </w:r>
          </w:p>
        </w:tc>
        <w:tc>
          <w:tcPr>
            <w:tcW w:w="2247" w:type="pct"/>
          </w:tcPr>
          <w:p w14:paraId="7B8ABB01" w14:textId="77777777" w:rsidR="00D42069" w:rsidRDefault="00D42069" w:rsidP="00D42069">
            <w:pPr>
              <w:pStyle w:val="BodyText"/>
            </w:pPr>
          </w:p>
        </w:tc>
        <w:tc>
          <w:tcPr>
            <w:tcW w:w="475" w:type="pct"/>
            <w:tcMar>
              <w:left w:w="108" w:type="dxa"/>
            </w:tcMar>
          </w:tcPr>
          <w:p w14:paraId="1435145F" w14:textId="77777777" w:rsidR="00D42069" w:rsidRDefault="00D42069" w:rsidP="00D42069">
            <w:pPr>
              <w:pStyle w:val="TableMarginNote"/>
              <w:spacing w:line="240" w:lineRule="auto"/>
            </w:pPr>
          </w:p>
        </w:tc>
      </w:tr>
      <w:tr w:rsidR="00D42069" w14:paraId="34E41B5A" w14:textId="77777777">
        <w:tc>
          <w:tcPr>
            <w:tcW w:w="353" w:type="pct"/>
          </w:tcPr>
          <w:p w14:paraId="6C39CA57" w14:textId="77777777" w:rsidR="00D42069" w:rsidRDefault="00D42069" w:rsidP="00D42069">
            <w:pPr>
              <w:pStyle w:val="BodyText"/>
            </w:pPr>
          </w:p>
        </w:tc>
        <w:tc>
          <w:tcPr>
            <w:tcW w:w="1925" w:type="pct"/>
          </w:tcPr>
          <w:p w14:paraId="00145615" w14:textId="77777777" w:rsidR="00D42069" w:rsidRDefault="00D42069" w:rsidP="00D42069">
            <w:pPr>
              <w:pStyle w:val="BodyText"/>
              <w:jc w:val="left"/>
            </w:pPr>
            <w:r>
              <w:t>Indication of yield:</w:t>
            </w:r>
          </w:p>
        </w:tc>
        <w:tc>
          <w:tcPr>
            <w:tcW w:w="2247" w:type="pct"/>
          </w:tcPr>
          <w:p w14:paraId="27371B74" w14:textId="77777777" w:rsidR="00D42069" w:rsidRDefault="00D42069" w:rsidP="00D42069">
            <w:pPr>
              <w:pStyle w:val="BodyText"/>
            </w:pPr>
            <w:r>
              <w:t>[•]</w:t>
            </w:r>
          </w:p>
          <w:p w14:paraId="0824F0FC" w14:textId="77777777" w:rsidR="00D42069" w:rsidRDefault="00D42069" w:rsidP="00D42069">
            <w:pPr>
              <w:pStyle w:val="BodyText"/>
            </w:pPr>
            <w:r>
              <w:t>[The yield is calculated at the Issue Date on the basis of the Issue Price.  It is not an indication of future yield.]</w:t>
            </w:r>
          </w:p>
        </w:tc>
        <w:tc>
          <w:tcPr>
            <w:tcW w:w="475" w:type="pct"/>
            <w:tcMar>
              <w:left w:w="108" w:type="dxa"/>
            </w:tcMar>
          </w:tcPr>
          <w:p w14:paraId="0C3DAB5F" w14:textId="77777777" w:rsidR="00D42069" w:rsidRDefault="00D42069" w:rsidP="00D42069">
            <w:pPr>
              <w:pStyle w:val="TableMarginNote"/>
              <w:spacing w:line="240" w:lineRule="auto"/>
            </w:pPr>
          </w:p>
        </w:tc>
      </w:tr>
      <w:tr w:rsidR="00D42069" w14:paraId="6661A0A9" w14:textId="77777777">
        <w:tc>
          <w:tcPr>
            <w:tcW w:w="353" w:type="pct"/>
          </w:tcPr>
          <w:p w14:paraId="2DFA1C3F" w14:textId="77777777" w:rsidR="00D42069" w:rsidRDefault="00D42069" w:rsidP="00D42069">
            <w:pPr>
              <w:pStyle w:val="ocNum4th2"/>
              <w:keepNext/>
              <w:rPr>
                <w:sz w:val="22"/>
              </w:rPr>
            </w:pPr>
          </w:p>
        </w:tc>
        <w:tc>
          <w:tcPr>
            <w:tcW w:w="1925" w:type="pct"/>
          </w:tcPr>
          <w:p w14:paraId="6F1A5A7A" w14:textId="77777777" w:rsidR="00D42069" w:rsidRDefault="00D42069" w:rsidP="00D42069">
            <w:pPr>
              <w:pStyle w:val="BodyText"/>
              <w:keepNext/>
              <w:jc w:val="left"/>
              <w:rPr>
                <w:b/>
                <w:bCs/>
                <w:i/>
                <w:iCs/>
              </w:rPr>
            </w:pPr>
            <w:r>
              <w:rPr>
                <w:b/>
                <w:bCs/>
              </w:rPr>
              <w:t>OPERATIONAL INFORMATION</w:t>
            </w:r>
          </w:p>
        </w:tc>
        <w:tc>
          <w:tcPr>
            <w:tcW w:w="2247" w:type="pct"/>
          </w:tcPr>
          <w:p w14:paraId="610DDFFF" w14:textId="77777777" w:rsidR="00D42069" w:rsidRDefault="00D42069" w:rsidP="00D42069">
            <w:pPr>
              <w:pStyle w:val="BodyText"/>
              <w:keepNext/>
            </w:pPr>
          </w:p>
        </w:tc>
        <w:tc>
          <w:tcPr>
            <w:tcW w:w="475" w:type="pct"/>
            <w:tcMar>
              <w:left w:w="108" w:type="dxa"/>
            </w:tcMar>
          </w:tcPr>
          <w:p w14:paraId="6C572635" w14:textId="77777777" w:rsidR="00D42069" w:rsidRDefault="00D42069" w:rsidP="00D42069">
            <w:pPr>
              <w:pStyle w:val="TableMarginNote"/>
              <w:keepNext/>
              <w:spacing w:line="240" w:lineRule="auto"/>
            </w:pPr>
          </w:p>
        </w:tc>
      </w:tr>
      <w:tr w:rsidR="00D42069" w14:paraId="08CF95A6" w14:textId="77777777">
        <w:tc>
          <w:tcPr>
            <w:tcW w:w="353" w:type="pct"/>
          </w:tcPr>
          <w:p w14:paraId="4A5D5254" w14:textId="77777777" w:rsidR="00D42069" w:rsidRDefault="00D42069" w:rsidP="00D42069">
            <w:pPr>
              <w:pStyle w:val="BodyText"/>
            </w:pPr>
          </w:p>
        </w:tc>
        <w:tc>
          <w:tcPr>
            <w:tcW w:w="1925" w:type="pct"/>
          </w:tcPr>
          <w:p w14:paraId="792C3FAC" w14:textId="77777777" w:rsidR="00D42069" w:rsidRDefault="00D42069" w:rsidP="00D42069">
            <w:pPr>
              <w:pStyle w:val="BodyText"/>
              <w:jc w:val="left"/>
              <w:rPr>
                <w:b/>
                <w:bCs/>
              </w:rPr>
            </w:pPr>
            <w:r>
              <w:t>ISIN Code:</w:t>
            </w:r>
          </w:p>
        </w:tc>
        <w:tc>
          <w:tcPr>
            <w:tcW w:w="2247" w:type="pct"/>
          </w:tcPr>
          <w:p w14:paraId="31939D8D" w14:textId="77777777" w:rsidR="00D42069" w:rsidRDefault="00D42069" w:rsidP="00D42069">
            <w:pPr>
              <w:pStyle w:val="BodyText"/>
              <w:rPr>
                <w:b/>
                <w:bCs/>
              </w:rPr>
            </w:pPr>
            <w:r>
              <w:t>[•]</w:t>
            </w:r>
          </w:p>
        </w:tc>
        <w:tc>
          <w:tcPr>
            <w:tcW w:w="475" w:type="pct"/>
            <w:tcMar>
              <w:left w:w="108" w:type="dxa"/>
            </w:tcMar>
          </w:tcPr>
          <w:p w14:paraId="070FEBA4" w14:textId="77777777" w:rsidR="00D42069" w:rsidRDefault="00D42069" w:rsidP="00D42069">
            <w:pPr>
              <w:pStyle w:val="TableMarginNote"/>
              <w:spacing w:line="240" w:lineRule="auto"/>
            </w:pPr>
          </w:p>
        </w:tc>
      </w:tr>
      <w:tr w:rsidR="00D42069" w14:paraId="7F93BB74" w14:textId="77777777">
        <w:tc>
          <w:tcPr>
            <w:tcW w:w="353" w:type="pct"/>
          </w:tcPr>
          <w:p w14:paraId="1EACB515" w14:textId="77777777" w:rsidR="00D42069" w:rsidRDefault="00D42069" w:rsidP="00D42069">
            <w:pPr>
              <w:pStyle w:val="BodyText"/>
            </w:pPr>
          </w:p>
        </w:tc>
        <w:tc>
          <w:tcPr>
            <w:tcW w:w="1925" w:type="pct"/>
          </w:tcPr>
          <w:p w14:paraId="62ABADCF" w14:textId="77777777" w:rsidR="00D42069" w:rsidRDefault="00D42069" w:rsidP="00D42069">
            <w:pPr>
              <w:pStyle w:val="BodyText"/>
              <w:jc w:val="left"/>
            </w:pPr>
            <w:r>
              <w:t>Common Code:</w:t>
            </w:r>
          </w:p>
        </w:tc>
        <w:tc>
          <w:tcPr>
            <w:tcW w:w="2247" w:type="pct"/>
          </w:tcPr>
          <w:p w14:paraId="6F37CD77" w14:textId="77777777" w:rsidR="00D42069" w:rsidRDefault="00D42069" w:rsidP="00D42069">
            <w:pPr>
              <w:pStyle w:val="BodyText"/>
            </w:pPr>
            <w:r>
              <w:t>[•]</w:t>
            </w:r>
          </w:p>
        </w:tc>
        <w:tc>
          <w:tcPr>
            <w:tcW w:w="475" w:type="pct"/>
            <w:tcMar>
              <w:left w:w="108" w:type="dxa"/>
            </w:tcMar>
          </w:tcPr>
          <w:p w14:paraId="4AD24451" w14:textId="77777777" w:rsidR="00D42069" w:rsidRDefault="00D42069" w:rsidP="00D42069">
            <w:pPr>
              <w:pStyle w:val="TableMarginNote"/>
              <w:spacing w:line="240" w:lineRule="auto"/>
            </w:pPr>
          </w:p>
        </w:tc>
      </w:tr>
      <w:tr w:rsidR="00D42069" w14:paraId="2C692CA4" w14:textId="77777777">
        <w:tc>
          <w:tcPr>
            <w:tcW w:w="353" w:type="pct"/>
          </w:tcPr>
          <w:p w14:paraId="618B3DC9" w14:textId="77777777" w:rsidR="00D42069" w:rsidRDefault="00D42069" w:rsidP="00D42069">
            <w:pPr>
              <w:pStyle w:val="BodyText"/>
            </w:pPr>
          </w:p>
        </w:tc>
        <w:tc>
          <w:tcPr>
            <w:tcW w:w="1925" w:type="pct"/>
          </w:tcPr>
          <w:p w14:paraId="35CE308C" w14:textId="77777777" w:rsidR="00D42069" w:rsidRDefault="00D42069" w:rsidP="00D42069">
            <w:pPr>
              <w:pStyle w:val="BodyText"/>
              <w:jc w:val="left"/>
            </w:pPr>
            <w:r>
              <w:t>[CUSIP:</w:t>
            </w:r>
          </w:p>
        </w:tc>
        <w:tc>
          <w:tcPr>
            <w:tcW w:w="2247" w:type="pct"/>
          </w:tcPr>
          <w:p w14:paraId="42292D3F" w14:textId="77777777" w:rsidR="00D42069" w:rsidRDefault="00D42069" w:rsidP="00D42069">
            <w:pPr>
              <w:pStyle w:val="BodyText"/>
            </w:pPr>
            <w:r>
              <w:t>[•]]</w:t>
            </w:r>
          </w:p>
        </w:tc>
        <w:tc>
          <w:tcPr>
            <w:tcW w:w="475" w:type="pct"/>
            <w:tcMar>
              <w:left w:w="108" w:type="dxa"/>
            </w:tcMar>
          </w:tcPr>
          <w:p w14:paraId="40B9A12E" w14:textId="77777777" w:rsidR="00D42069" w:rsidRDefault="00D42069" w:rsidP="00D42069">
            <w:pPr>
              <w:pStyle w:val="TableMarginNote"/>
              <w:spacing w:line="240" w:lineRule="auto"/>
            </w:pPr>
          </w:p>
        </w:tc>
      </w:tr>
      <w:tr w:rsidR="00D42069" w14:paraId="41DBA029" w14:textId="77777777" w:rsidTr="00DB3CBA">
        <w:trPr>
          <w:trHeight w:val="1332"/>
        </w:trPr>
        <w:tc>
          <w:tcPr>
            <w:tcW w:w="353" w:type="pct"/>
          </w:tcPr>
          <w:p w14:paraId="59E25BA1" w14:textId="77777777" w:rsidR="00D42069" w:rsidRDefault="00D42069" w:rsidP="00D42069">
            <w:pPr>
              <w:pStyle w:val="BodyText"/>
            </w:pPr>
          </w:p>
        </w:tc>
        <w:tc>
          <w:tcPr>
            <w:tcW w:w="1925" w:type="pct"/>
          </w:tcPr>
          <w:p w14:paraId="5BE21756" w14:textId="77777777" w:rsidR="00D42069" w:rsidRDefault="00D42069" w:rsidP="00D42069">
            <w:pPr>
              <w:pStyle w:val="BodyText"/>
              <w:jc w:val="left"/>
            </w:pPr>
            <w:r>
              <w:t>CFI:</w:t>
            </w:r>
          </w:p>
        </w:tc>
        <w:tc>
          <w:tcPr>
            <w:tcW w:w="2247" w:type="pct"/>
          </w:tcPr>
          <w:p w14:paraId="0BA63502" w14:textId="77777777" w:rsidR="00D42069" w:rsidRDefault="00DB3CBA" w:rsidP="00D42069">
            <w:pPr>
              <w:pStyle w:val="BodyText"/>
            </w:pPr>
            <w:r w:rsidRPr="00DB3CBA">
              <w:t>[See the website of the Association of National Numbering Agencies (ANNA) or alternatively sourced from the responsible National Numbering Agency that assigned the ISIN/Not Applicable/ Not Available]</w:t>
            </w:r>
            <w:r w:rsidRPr="00DB3CBA">
              <w:tab/>
            </w:r>
          </w:p>
        </w:tc>
        <w:tc>
          <w:tcPr>
            <w:tcW w:w="475" w:type="pct"/>
            <w:tcMar>
              <w:left w:w="108" w:type="dxa"/>
            </w:tcMar>
          </w:tcPr>
          <w:p w14:paraId="024C3D63" w14:textId="77777777" w:rsidR="00D42069" w:rsidRDefault="00D42069" w:rsidP="00D42069">
            <w:pPr>
              <w:pStyle w:val="TableMarginNote"/>
              <w:spacing w:line="240" w:lineRule="auto"/>
            </w:pPr>
          </w:p>
        </w:tc>
      </w:tr>
      <w:tr w:rsidR="00D42069" w14:paraId="2B3C3722" w14:textId="77777777">
        <w:tc>
          <w:tcPr>
            <w:tcW w:w="353" w:type="pct"/>
          </w:tcPr>
          <w:p w14:paraId="219C0A48" w14:textId="77777777" w:rsidR="00D42069" w:rsidRDefault="00D42069" w:rsidP="00D42069">
            <w:pPr>
              <w:pStyle w:val="BodyText"/>
            </w:pPr>
          </w:p>
        </w:tc>
        <w:tc>
          <w:tcPr>
            <w:tcW w:w="1925" w:type="pct"/>
          </w:tcPr>
          <w:p w14:paraId="7A433E46" w14:textId="77777777" w:rsidR="00D42069" w:rsidRDefault="00D42069" w:rsidP="00D42069">
            <w:pPr>
              <w:pStyle w:val="BodyText"/>
              <w:jc w:val="left"/>
            </w:pPr>
            <w:r>
              <w:t>FISN:</w:t>
            </w:r>
          </w:p>
        </w:tc>
        <w:tc>
          <w:tcPr>
            <w:tcW w:w="2247" w:type="pct"/>
          </w:tcPr>
          <w:p w14:paraId="00B906A2" w14:textId="77777777" w:rsidR="00DB3CBA" w:rsidRDefault="00DB3CBA" w:rsidP="00D42069">
            <w:pPr>
              <w:pStyle w:val="BodyText"/>
            </w:pPr>
            <w:r w:rsidRPr="00DB3CBA">
              <w:t>[See the website of the Association of National Numbering Agencies (ANNA) or alternatively sourced from the responsible National Numbering Agency that assigned the ISIN / Not Applicable / Not Available]</w:t>
            </w:r>
          </w:p>
          <w:p w14:paraId="55402A6D" w14:textId="77777777" w:rsidR="00DB3CBA" w:rsidRDefault="00DB3CBA" w:rsidP="00D42069">
            <w:pPr>
              <w:pStyle w:val="BodyText"/>
            </w:pPr>
          </w:p>
          <w:p w14:paraId="19A86C92" w14:textId="77777777" w:rsidR="00D42069" w:rsidRDefault="00D42069" w:rsidP="00D42069">
            <w:pPr>
              <w:pStyle w:val="BodyText"/>
            </w:pPr>
            <w:r>
              <w:t>(</w:t>
            </w:r>
            <w:r w:rsidRPr="00025FD0">
              <w:rPr>
                <w:i/>
              </w:rPr>
              <w:t>If the CFI and/or FISN is not required, requested or available, it/they should be specified to be “Not Applicable”.)</w:t>
            </w:r>
          </w:p>
        </w:tc>
        <w:tc>
          <w:tcPr>
            <w:tcW w:w="475" w:type="pct"/>
            <w:tcMar>
              <w:left w:w="108" w:type="dxa"/>
            </w:tcMar>
          </w:tcPr>
          <w:p w14:paraId="6D59DB3A" w14:textId="77777777" w:rsidR="00D42069" w:rsidRDefault="00D42069" w:rsidP="00D42069">
            <w:pPr>
              <w:pStyle w:val="TableMarginNote"/>
              <w:spacing w:line="240" w:lineRule="auto"/>
            </w:pPr>
          </w:p>
        </w:tc>
      </w:tr>
      <w:tr w:rsidR="00D42069" w14:paraId="1ECFD298" w14:textId="77777777">
        <w:tc>
          <w:tcPr>
            <w:tcW w:w="353" w:type="pct"/>
          </w:tcPr>
          <w:p w14:paraId="401BDEF4" w14:textId="77777777" w:rsidR="00D42069" w:rsidRDefault="00D42069" w:rsidP="00D42069">
            <w:pPr>
              <w:pStyle w:val="BodyText"/>
            </w:pPr>
          </w:p>
        </w:tc>
        <w:tc>
          <w:tcPr>
            <w:tcW w:w="1925" w:type="pct"/>
          </w:tcPr>
          <w:p w14:paraId="08451B0C" w14:textId="77777777" w:rsidR="00D42069" w:rsidRDefault="00D42069" w:rsidP="00D42069">
            <w:pPr>
              <w:pStyle w:val="BodyText"/>
              <w:jc w:val="left"/>
            </w:pPr>
            <w:r>
              <w:t>Any clearing system(s) other than Euroclear Bank SA/ NV and Clearstream, Banking, société anonyme and the relevant identification number(s):</w:t>
            </w:r>
          </w:p>
        </w:tc>
        <w:tc>
          <w:tcPr>
            <w:tcW w:w="2247" w:type="pct"/>
          </w:tcPr>
          <w:p w14:paraId="5E2B5E1E" w14:textId="77777777" w:rsidR="00D42069" w:rsidRDefault="00D42069" w:rsidP="00D42069">
            <w:pPr>
              <w:pStyle w:val="BodyText"/>
            </w:pPr>
            <w:r>
              <w:t>[Not Applicable/</w:t>
            </w:r>
            <w:r>
              <w:rPr>
                <w:i/>
              </w:rPr>
              <w:t>give name(s) and number(s)</w:t>
            </w:r>
            <w:r>
              <w:t>]</w:t>
            </w:r>
          </w:p>
        </w:tc>
        <w:tc>
          <w:tcPr>
            <w:tcW w:w="475" w:type="pct"/>
            <w:tcMar>
              <w:left w:w="108" w:type="dxa"/>
            </w:tcMar>
          </w:tcPr>
          <w:p w14:paraId="40C69F08" w14:textId="77777777" w:rsidR="00D42069" w:rsidRDefault="00D42069" w:rsidP="00D42069">
            <w:pPr>
              <w:pStyle w:val="TableMarginNote"/>
              <w:spacing w:line="240" w:lineRule="auto"/>
            </w:pPr>
          </w:p>
        </w:tc>
      </w:tr>
      <w:tr w:rsidR="00D42069" w14:paraId="724F7B59" w14:textId="77777777">
        <w:tc>
          <w:tcPr>
            <w:tcW w:w="353" w:type="pct"/>
          </w:tcPr>
          <w:p w14:paraId="25CEDF25" w14:textId="77777777" w:rsidR="00D42069" w:rsidRDefault="00D42069" w:rsidP="00D42069">
            <w:pPr>
              <w:pStyle w:val="BodyText"/>
            </w:pPr>
          </w:p>
        </w:tc>
        <w:tc>
          <w:tcPr>
            <w:tcW w:w="1925" w:type="pct"/>
          </w:tcPr>
          <w:p w14:paraId="0C5364B0" w14:textId="77777777" w:rsidR="00D42069" w:rsidRDefault="00D42069" w:rsidP="00D42069">
            <w:pPr>
              <w:pStyle w:val="BodyText"/>
              <w:jc w:val="left"/>
            </w:pPr>
            <w:r>
              <w:t>Delivery:</w:t>
            </w:r>
          </w:p>
        </w:tc>
        <w:tc>
          <w:tcPr>
            <w:tcW w:w="2247" w:type="pct"/>
          </w:tcPr>
          <w:p w14:paraId="764A6A08" w14:textId="77777777" w:rsidR="00D42069" w:rsidRDefault="00D42069" w:rsidP="00D42069">
            <w:pPr>
              <w:pStyle w:val="BodyText"/>
            </w:pPr>
            <w:r>
              <w:t>Delivery [against/free of] payment</w:t>
            </w:r>
          </w:p>
        </w:tc>
        <w:tc>
          <w:tcPr>
            <w:tcW w:w="475" w:type="pct"/>
            <w:tcMar>
              <w:left w:w="108" w:type="dxa"/>
            </w:tcMar>
          </w:tcPr>
          <w:p w14:paraId="1FD2BAA8" w14:textId="77777777" w:rsidR="00D42069" w:rsidRDefault="00D42069" w:rsidP="00D42069">
            <w:pPr>
              <w:pStyle w:val="TableMarginNote"/>
              <w:spacing w:line="240" w:lineRule="auto"/>
            </w:pPr>
          </w:p>
        </w:tc>
      </w:tr>
      <w:tr w:rsidR="00D42069" w14:paraId="2CC5B035" w14:textId="77777777">
        <w:tc>
          <w:tcPr>
            <w:tcW w:w="353" w:type="pct"/>
          </w:tcPr>
          <w:p w14:paraId="6E3BE7A3" w14:textId="77777777" w:rsidR="00D42069" w:rsidRDefault="00D42069" w:rsidP="00D42069">
            <w:pPr>
              <w:pStyle w:val="BodyText"/>
            </w:pPr>
          </w:p>
        </w:tc>
        <w:tc>
          <w:tcPr>
            <w:tcW w:w="1925" w:type="pct"/>
          </w:tcPr>
          <w:p w14:paraId="0B323E0C" w14:textId="77777777" w:rsidR="00D42069" w:rsidRDefault="00D42069" w:rsidP="00D42069">
            <w:pPr>
              <w:pStyle w:val="BodyText"/>
              <w:jc w:val="left"/>
            </w:pPr>
            <w:r>
              <w:t>Names and addresses of additional Paying Agent(s) (if any):</w:t>
            </w:r>
          </w:p>
        </w:tc>
        <w:tc>
          <w:tcPr>
            <w:tcW w:w="2247" w:type="pct"/>
          </w:tcPr>
          <w:p w14:paraId="21830025" w14:textId="77777777" w:rsidR="00D42069" w:rsidRDefault="00D42069" w:rsidP="00D42069">
            <w:pPr>
              <w:pStyle w:val="BodyText"/>
            </w:pPr>
            <w:r>
              <w:t>[•]</w:t>
            </w:r>
          </w:p>
        </w:tc>
        <w:tc>
          <w:tcPr>
            <w:tcW w:w="475" w:type="pct"/>
            <w:tcMar>
              <w:left w:w="108" w:type="dxa"/>
            </w:tcMar>
          </w:tcPr>
          <w:p w14:paraId="39A93E3E" w14:textId="77777777" w:rsidR="00D42069" w:rsidRDefault="00D42069" w:rsidP="00D42069">
            <w:pPr>
              <w:pStyle w:val="TableMarginNote"/>
              <w:spacing w:line="240" w:lineRule="auto"/>
            </w:pPr>
          </w:p>
        </w:tc>
      </w:tr>
      <w:tr w:rsidR="00D42069" w14:paraId="70DB1B9E" w14:textId="77777777">
        <w:tc>
          <w:tcPr>
            <w:tcW w:w="353" w:type="pct"/>
          </w:tcPr>
          <w:p w14:paraId="3705B95F" w14:textId="77777777" w:rsidR="00D42069" w:rsidRDefault="00D42069" w:rsidP="00D42069">
            <w:pPr>
              <w:pStyle w:val="BodyText"/>
            </w:pPr>
          </w:p>
        </w:tc>
        <w:tc>
          <w:tcPr>
            <w:tcW w:w="1925" w:type="pct"/>
          </w:tcPr>
          <w:p w14:paraId="71A53C5D" w14:textId="77777777" w:rsidR="00D42069" w:rsidRDefault="00D42069" w:rsidP="00D42069">
            <w:pPr>
              <w:pStyle w:val="BodyText"/>
              <w:jc w:val="left"/>
            </w:pPr>
            <w:r>
              <w:t>[Intended to be held in a manner which would allow Eurosystem eligibility:</w:t>
            </w:r>
          </w:p>
        </w:tc>
        <w:tc>
          <w:tcPr>
            <w:tcW w:w="2247" w:type="pct"/>
          </w:tcPr>
          <w:p w14:paraId="6B09A73B" w14:textId="77777777" w:rsidR="00D42069" w:rsidRDefault="00D42069" w:rsidP="00D42069">
            <w:pPr>
              <w:pStyle w:val="BodyText"/>
            </w:pPr>
            <w:r>
              <w:t>[Yes][No]</w:t>
            </w:r>
          </w:p>
        </w:tc>
        <w:tc>
          <w:tcPr>
            <w:tcW w:w="475" w:type="pct"/>
            <w:tcMar>
              <w:left w:w="108" w:type="dxa"/>
            </w:tcMar>
          </w:tcPr>
          <w:p w14:paraId="6C616E8E" w14:textId="77777777" w:rsidR="00D42069" w:rsidRDefault="00D42069" w:rsidP="00D42069">
            <w:pPr>
              <w:pStyle w:val="TableMarginNote"/>
              <w:spacing w:line="240" w:lineRule="auto"/>
            </w:pPr>
          </w:p>
        </w:tc>
      </w:tr>
      <w:tr w:rsidR="00D42069" w14:paraId="36CC3AFD" w14:textId="77777777">
        <w:tc>
          <w:tcPr>
            <w:tcW w:w="353" w:type="pct"/>
          </w:tcPr>
          <w:p w14:paraId="20BF7B1B" w14:textId="77777777" w:rsidR="00D42069" w:rsidRDefault="00D42069" w:rsidP="00D42069">
            <w:pPr>
              <w:pStyle w:val="BodyText"/>
            </w:pPr>
          </w:p>
        </w:tc>
        <w:tc>
          <w:tcPr>
            <w:tcW w:w="1925" w:type="pct"/>
          </w:tcPr>
          <w:p w14:paraId="6CE27447" w14:textId="77777777" w:rsidR="00D42069" w:rsidRDefault="00D42069" w:rsidP="00D42069">
            <w:pPr>
              <w:pStyle w:val="BodyText"/>
              <w:jc w:val="left"/>
            </w:pPr>
          </w:p>
        </w:tc>
        <w:tc>
          <w:tcPr>
            <w:tcW w:w="2247" w:type="pct"/>
          </w:tcPr>
          <w:p w14:paraId="4693ADD8" w14:textId="77777777" w:rsidR="00D42069" w:rsidRDefault="00D42069" w:rsidP="00D42069">
            <w:pPr>
              <w:pStyle w:val="BodyText"/>
            </w:pPr>
            <w:r>
              <w:t>[Note that the designation "yes" simply means that the Notes are intended upon issue to be deposited with one of the ICSDs as common safekeeper and does not necessarily mean that the Notes will be recognised as eligible collateral for Eurosystem monetary policy and intraday credit operations by the Eurosystem either upon issue or at any or all times during their life.  Such recognition will depend upon the ECB being satisfied that Eurosystem eligibility criteria have been met.] [Whilst the designation is specified as "No" at the date of these Final Terms, should the Eurosystem eligibility criteria be amended in the future such that the Notes are capable of meeting them the Notes may then be deposited with one of the ICSDs as common safekeeper.  Note that this does not necessarily mean that the Notes will then be recognised as eligible collateral for Eurosystem monetary policy and intraday credit operations by the Eurosystem at any time during their life.  Such recognition will depend upon the ECB being satisfied that Eurosystem eligibility criteria have been met.]]</w:t>
            </w:r>
          </w:p>
        </w:tc>
        <w:tc>
          <w:tcPr>
            <w:tcW w:w="475" w:type="pct"/>
            <w:tcMar>
              <w:left w:w="108" w:type="dxa"/>
            </w:tcMar>
          </w:tcPr>
          <w:p w14:paraId="2A812098" w14:textId="77777777" w:rsidR="00D42069" w:rsidRDefault="00D42069" w:rsidP="00D42069">
            <w:pPr>
              <w:pStyle w:val="TableMarginNote"/>
              <w:spacing w:line="240" w:lineRule="auto"/>
            </w:pPr>
          </w:p>
        </w:tc>
      </w:tr>
      <w:tr w:rsidR="00D42069" w14:paraId="37120878" w14:textId="77777777">
        <w:tc>
          <w:tcPr>
            <w:tcW w:w="353" w:type="pct"/>
          </w:tcPr>
          <w:p w14:paraId="53FFD898" w14:textId="77777777" w:rsidR="00D42069" w:rsidRDefault="00D42069" w:rsidP="00D42069">
            <w:pPr>
              <w:pStyle w:val="ocNum4th2"/>
              <w:keepNext/>
            </w:pPr>
          </w:p>
        </w:tc>
        <w:tc>
          <w:tcPr>
            <w:tcW w:w="1925" w:type="pct"/>
          </w:tcPr>
          <w:p w14:paraId="19253383" w14:textId="77777777" w:rsidR="00D42069" w:rsidRDefault="00D42069" w:rsidP="00D42069">
            <w:pPr>
              <w:pStyle w:val="BodyText"/>
              <w:keepNext/>
              <w:jc w:val="left"/>
            </w:pPr>
            <w:r>
              <w:rPr>
                <w:rFonts w:eastAsia="SimSun"/>
                <w:b/>
                <w:bCs/>
              </w:rPr>
              <w:t>DISTRIBUTION</w:t>
            </w:r>
          </w:p>
        </w:tc>
        <w:tc>
          <w:tcPr>
            <w:tcW w:w="2247" w:type="pct"/>
          </w:tcPr>
          <w:p w14:paraId="4335D878" w14:textId="77777777" w:rsidR="00D42069" w:rsidRDefault="00D42069" w:rsidP="00D42069">
            <w:pPr>
              <w:pStyle w:val="BodyText"/>
              <w:keepNext/>
            </w:pPr>
          </w:p>
        </w:tc>
        <w:tc>
          <w:tcPr>
            <w:tcW w:w="475" w:type="pct"/>
            <w:tcMar>
              <w:left w:w="108" w:type="dxa"/>
            </w:tcMar>
          </w:tcPr>
          <w:p w14:paraId="03BE500F" w14:textId="77777777" w:rsidR="00D42069" w:rsidRDefault="00D42069" w:rsidP="00D42069">
            <w:pPr>
              <w:pStyle w:val="TableMarginNote"/>
              <w:keepNext/>
              <w:spacing w:line="240" w:lineRule="auto"/>
            </w:pPr>
          </w:p>
        </w:tc>
      </w:tr>
      <w:tr w:rsidR="00D42069" w14:paraId="2AD40D91" w14:textId="77777777">
        <w:tc>
          <w:tcPr>
            <w:tcW w:w="353" w:type="pct"/>
          </w:tcPr>
          <w:p w14:paraId="49DBC633" w14:textId="77777777" w:rsidR="00D42069" w:rsidRDefault="00D42069" w:rsidP="00D42069">
            <w:pPr>
              <w:pStyle w:val="BodyText"/>
            </w:pPr>
          </w:p>
        </w:tc>
        <w:tc>
          <w:tcPr>
            <w:tcW w:w="1925" w:type="pct"/>
          </w:tcPr>
          <w:p w14:paraId="0F4F6DDE" w14:textId="77777777" w:rsidR="00D42069" w:rsidRDefault="00D42069" w:rsidP="00D42069">
            <w:pPr>
              <w:pStyle w:val="BodyText"/>
              <w:jc w:val="left"/>
            </w:pPr>
            <w:r>
              <w:rPr>
                <w:rFonts w:eastAsia="SimSun"/>
              </w:rPr>
              <w:t>(i)</w:t>
            </w:r>
            <w:r>
              <w:tab/>
              <w:t>Method of distribution:</w:t>
            </w:r>
          </w:p>
        </w:tc>
        <w:tc>
          <w:tcPr>
            <w:tcW w:w="2247" w:type="pct"/>
          </w:tcPr>
          <w:p w14:paraId="7536A13B" w14:textId="77777777" w:rsidR="00D42069" w:rsidRDefault="00D42069" w:rsidP="00D42069">
            <w:pPr>
              <w:pStyle w:val="BodyText"/>
              <w:rPr>
                <w:rFonts w:eastAsia="SimSun"/>
              </w:rPr>
            </w:pPr>
            <w:r>
              <w:rPr>
                <w:rFonts w:eastAsia="SimSun"/>
              </w:rPr>
              <w:t>[Syndicated/Non-syndicated]</w:t>
            </w:r>
          </w:p>
        </w:tc>
        <w:tc>
          <w:tcPr>
            <w:tcW w:w="475" w:type="pct"/>
            <w:tcMar>
              <w:left w:w="108" w:type="dxa"/>
            </w:tcMar>
          </w:tcPr>
          <w:p w14:paraId="4BD44E7E" w14:textId="77777777" w:rsidR="00D42069" w:rsidRDefault="00D42069" w:rsidP="00D42069">
            <w:pPr>
              <w:pStyle w:val="TableMarginNote"/>
              <w:spacing w:line="240" w:lineRule="auto"/>
            </w:pPr>
          </w:p>
        </w:tc>
      </w:tr>
      <w:tr w:rsidR="00D42069" w14:paraId="50C93225" w14:textId="77777777">
        <w:tc>
          <w:tcPr>
            <w:tcW w:w="353" w:type="pct"/>
          </w:tcPr>
          <w:p w14:paraId="24194CB1" w14:textId="77777777" w:rsidR="00D42069" w:rsidRDefault="00D42069" w:rsidP="00D42069">
            <w:pPr>
              <w:pStyle w:val="BodyText"/>
            </w:pPr>
          </w:p>
        </w:tc>
        <w:tc>
          <w:tcPr>
            <w:tcW w:w="1925" w:type="pct"/>
          </w:tcPr>
          <w:p w14:paraId="799FF40B" w14:textId="77777777" w:rsidR="00D42069" w:rsidRDefault="00D42069" w:rsidP="00D42069">
            <w:pPr>
              <w:pStyle w:val="BodyText"/>
              <w:jc w:val="left"/>
              <w:rPr>
                <w:rFonts w:eastAsia="SimSun"/>
              </w:rPr>
            </w:pPr>
            <w:r>
              <w:rPr>
                <w:rFonts w:eastAsia="SimSun"/>
              </w:rPr>
              <w:t>(ii)</w:t>
            </w:r>
            <w:r>
              <w:rPr>
                <w:rFonts w:eastAsia="SimSun"/>
              </w:rPr>
              <w:tab/>
              <w:t xml:space="preserve">If syndicated:  </w:t>
            </w:r>
          </w:p>
        </w:tc>
        <w:tc>
          <w:tcPr>
            <w:tcW w:w="2247" w:type="pct"/>
          </w:tcPr>
          <w:p w14:paraId="086250B9" w14:textId="77777777" w:rsidR="00D42069" w:rsidRDefault="00D42069" w:rsidP="00D42069">
            <w:pPr>
              <w:pStyle w:val="BodyText"/>
              <w:rPr>
                <w:rFonts w:eastAsia="SimSun"/>
              </w:rPr>
            </w:pPr>
            <w:r>
              <w:rPr>
                <w:rFonts w:eastAsia="SimSun"/>
              </w:rPr>
              <w:t>[Not Applicable]</w:t>
            </w:r>
          </w:p>
        </w:tc>
        <w:tc>
          <w:tcPr>
            <w:tcW w:w="475" w:type="pct"/>
            <w:tcMar>
              <w:left w:w="108" w:type="dxa"/>
            </w:tcMar>
          </w:tcPr>
          <w:p w14:paraId="3EBF6D19" w14:textId="77777777" w:rsidR="00D42069" w:rsidRDefault="00D42069" w:rsidP="00D42069">
            <w:pPr>
              <w:pStyle w:val="TableMarginNote"/>
              <w:spacing w:line="240" w:lineRule="auto"/>
            </w:pPr>
          </w:p>
        </w:tc>
      </w:tr>
      <w:tr w:rsidR="00D42069" w14:paraId="1BE62515" w14:textId="77777777">
        <w:tc>
          <w:tcPr>
            <w:tcW w:w="353" w:type="pct"/>
          </w:tcPr>
          <w:p w14:paraId="51959C04" w14:textId="77777777" w:rsidR="00D42069" w:rsidRDefault="00D42069" w:rsidP="00D42069">
            <w:pPr>
              <w:pStyle w:val="BodyText"/>
            </w:pPr>
          </w:p>
        </w:tc>
        <w:tc>
          <w:tcPr>
            <w:tcW w:w="1925" w:type="pct"/>
          </w:tcPr>
          <w:p w14:paraId="738F38D7" w14:textId="77777777" w:rsidR="00D42069" w:rsidRDefault="00D42069" w:rsidP="00D42069">
            <w:pPr>
              <w:pStyle w:val="BodyText"/>
              <w:ind w:left="1247" w:hanging="567"/>
              <w:jc w:val="left"/>
              <w:rPr>
                <w:rFonts w:eastAsia="SimSun"/>
              </w:rPr>
            </w:pPr>
            <w:r>
              <w:rPr>
                <w:rFonts w:eastAsia="SimSun"/>
              </w:rPr>
              <w:t>(a)</w:t>
            </w:r>
            <w:r>
              <w:rPr>
                <w:rFonts w:eastAsia="SimSun"/>
              </w:rPr>
              <w:tab/>
              <w:t>Names of Managers:</w:t>
            </w:r>
          </w:p>
        </w:tc>
        <w:tc>
          <w:tcPr>
            <w:tcW w:w="2247" w:type="pct"/>
          </w:tcPr>
          <w:p w14:paraId="588485D1" w14:textId="77777777" w:rsidR="00D42069" w:rsidRDefault="00D42069" w:rsidP="00D42069">
            <w:pPr>
              <w:pStyle w:val="BodyText"/>
              <w:rPr>
                <w:rFonts w:eastAsia="SimSun"/>
              </w:rPr>
            </w:pPr>
            <w:r>
              <w:rPr>
                <w:rFonts w:eastAsia="SimSun"/>
              </w:rPr>
              <w:t>[•]</w:t>
            </w:r>
          </w:p>
        </w:tc>
        <w:tc>
          <w:tcPr>
            <w:tcW w:w="475" w:type="pct"/>
            <w:tcMar>
              <w:left w:w="108" w:type="dxa"/>
            </w:tcMar>
          </w:tcPr>
          <w:p w14:paraId="6F0E8A8D" w14:textId="77777777" w:rsidR="00D42069" w:rsidRDefault="00D42069" w:rsidP="00D42069">
            <w:pPr>
              <w:pStyle w:val="TableMarginNote"/>
              <w:spacing w:line="240" w:lineRule="auto"/>
            </w:pPr>
          </w:p>
        </w:tc>
      </w:tr>
      <w:tr w:rsidR="00D42069" w14:paraId="4F9C428B" w14:textId="77777777">
        <w:tc>
          <w:tcPr>
            <w:tcW w:w="353" w:type="pct"/>
          </w:tcPr>
          <w:p w14:paraId="672952CB" w14:textId="77777777" w:rsidR="00D42069" w:rsidRDefault="00D42069" w:rsidP="00D42069">
            <w:pPr>
              <w:pStyle w:val="BodyText"/>
            </w:pPr>
          </w:p>
        </w:tc>
        <w:tc>
          <w:tcPr>
            <w:tcW w:w="1925" w:type="pct"/>
          </w:tcPr>
          <w:p w14:paraId="375A307B" w14:textId="77777777" w:rsidR="00D42069" w:rsidRDefault="00D42069" w:rsidP="00D42069">
            <w:pPr>
              <w:pStyle w:val="BodyText"/>
              <w:ind w:left="1247" w:hanging="567"/>
              <w:jc w:val="left"/>
            </w:pPr>
            <w:r>
              <w:rPr>
                <w:rFonts w:eastAsia="SimSun"/>
              </w:rPr>
              <w:t>(b)</w:t>
            </w:r>
            <w:r>
              <w:tab/>
            </w:r>
            <w:r>
              <w:rPr>
                <w:rFonts w:eastAsia="SimSun"/>
              </w:rPr>
              <w:t>Stabilising Manager(s) (if any):</w:t>
            </w:r>
          </w:p>
        </w:tc>
        <w:tc>
          <w:tcPr>
            <w:tcW w:w="2247" w:type="pct"/>
          </w:tcPr>
          <w:p w14:paraId="1A02A665" w14:textId="77777777" w:rsidR="00D42069" w:rsidRDefault="00D42069" w:rsidP="00D42069">
            <w:pPr>
              <w:pStyle w:val="BodyText"/>
            </w:pPr>
            <w:r>
              <w:rPr>
                <w:rFonts w:eastAsia="SimSun"/>
              </w:rPr>
              <w:t>[Not Applicable/[•]]</w:t>
            </w:r>
          </w:p>
        </w:tc>
        <w:tc>
          <w:tcPr>
            <w:tcW w:w="475" w:type="pct"/>
            <w:tcMar>
              <w:left w:w="108" w:type="dxa"/>
            </w:tcMar>
          </w:tcPr>
          <w:p w14:paraId="72B61DA5" w14:textId="77777777" w:rsidR="00D42069" w:rsidRDefault="00D42069" w:rsidP="00D42069">
            <w:pPr>
              <w:pStyle w:val="TableMarginNote"/>
              <w:spacing w:line="240" w:lineRule="auto"/>
            </w:pPr>
          </w:p>
        </w:tc>
      </w:tr>
      <w:tr w:rsidR="00D42069" w14:paraId="1DEA0A61" w14:textId="77777777">
        <w:tc>
          <w:tcPr>
            <w:tcW w:w="353" w:type="pct"/>
          </w:tcPr>
          <w:p w14:paraId="38B1B539" w14:textId="77777777" w:rsidR="00D42069" w:rsidRDefault="00D42069" w:rsidP="00D42069">
            <w:pPr>
              <w:pStyle w:val="BodyText"/>
            </w:pPr>
          </w:p>
        </w:tc>
        <w:tc>
          <w:tcPr>
            <w:tcW w:w="1925" w:type="pct"/>
          </w:tcPr>
          <w:p w14:paraId="148226AC" w14:textId="77777777" w:rsidR="00D42069" w:rsidRDefault="00D42069" w:rsidP="00D42069">
            <w:pPr>
              <w:pStyle w:val="BodyText"/>
              <w:ind w:left="680" w:hanging="680"/>
              <w:jc w:val="left"/>
            </w:pPr>
            <w:r>
              <w:rPr>
                <w:rFonts w:eastAsia="SimSun"/>
              </w:rPr>
              <w:t>(iii)</w:t>
            </w:r>
            <w:r>
              <w:rPr>
                <w:rFonts w:eastAsia="SimSun"/>
              </w:rPr>
              <w:tab/>
              <w:t>If non-syndicated, name and address of Dealer:</w:t>
            </w:r>
          </w:p>
        </w:tc>
        <w:tc>
          <w:tcPr>
            <w:tcW w:w="2247" w:type="pct"/>
          </w:tcPr>
          <w:p w14:paraId="60125B97" w14:textId="77777777" w:rsidR="00D42069" w:rsidRDefault="00D42069" w:rsidP="00D42069">
            <w:pPr>
              <w:pStyle w:val="BodyText"/>
            </w:pPr>
            <w:r>
              <w:rPr>
                <w:rFonts w:eastAsia="SimSun"/>
              </w:rPr>
              <w:t>[Not Applicable/[•]]</w:t>
            </w:r>
          </w:p>
        </w:tc>
        <w:tc>
          <w:tcPr>
            <w:tcW w:w="475" w:type="pct"/>
            <w:tcMar>
              <w:left w:w="108" w:type="dxa"/>
            </w:tcMar>
          </w:tcPr>
          <w:p w14:paraId="3B509828" w14:textId="77777777" w:rsidR="00D42069" w:rsidRDefault="00D42069" w:rsidP="00D42069">
            <w:pPr>
              <w:pStyle w:val="TableMarginNote"/>
              <w:spacing w:line="240" w:lineRule="auto"/>
            </w:pPr>
          </w:p>
        </w:tc>
      </w:tr>
      <w:tr w:rsidR="00D42069" w14:paraId="12AFF871" w14:textId="77777777">
        <w:tc>
          <w:tcPr>
            <w:tcW w:w="353" w:type="pct"/>
          </w:tcPr>
          <w:p w14:paraId="369CE888" w14:textId="77777777" w:rsidR="00D42069" w:rsidRDefault="00D42069" w:rsidP="00D42069">
            <w:pPr>
              <w:pStyle w:val="BodyText"/>
            </w:pPr>
          </w:p>
        </w:tc>
        <w:tc>
          <w:tcPr>
            <w:tcW w:w="1925" w:type="pct"/>
          </w:tcPr>
          <w:p w14:paraId="3C917336" w14:textId="77777777" w:rsidR="00D42069" w:rsidRDefault="00D42069" w:rsidP="00D42069">
            <w:pPr>
              <w:pStyle w:val="BodyText"/>
              <w:jc w:val="left"/>
            </w:pPr>
            <w:r>
              <w:rPr>
                <w:rFonts w:eastAsia="SimSun"/>
              </w:rPr>
              <w:t>(iv)</w:t>
            </w:r>
            <w:r>
              <w:rPr>
                <w:rFonts w:eastAsia="SimSun"/>
              </w:rPr>
              <w:tab/>
              <w:t>U.S. Selling Restrictions:</w:t>
            </w:r>
          </w:p>
        </w:tc>
        <w:tc>
          <w:tcPr>
            <w:tcW w:w="2247" w:type="pct"/>
          </w:tcPr>
          <w:p w14:paraId="32FDB53C" w14:textId="77777777" w:rsidR="00D42069" w:rsidRDefault="00D42069" w:rsidP="00D42069">
            <w:pPr>
              <w:pStyle w:val="BodyText"/>
            </w:pPr>
            <w:r>
              <w:rPr>
                <w:rFonts w:eastAsia="SimSun"/>
                <w:lang w:val="it-IT"/>
              </w:rPr>
              <w:t xml:space="preserve">[TEFRA C/TEFRA D] [Reg. </w:t>
            </w:r>
            <w:r>
              <w:rPr>
                <w:rFonts w:eastAsia="SimSun"/>
              </w:rPr>
              <w:t>S Compliance Category 1]</w:t>
            </w:r>
          </w:p>
        </w:tc>
        <w:tc>
          <w:tcPr>
            <w:tcW w:w="475" w:type="pct"/>
            <w:tcMar>
              <w:left w:w="108" w:type="dxa"/>
            </w:tcMar>
          </w:tcPr>
          <w:p w14:paraId="4A1E97BD" w14:textId="77777777" w:rsidR="00D42069" w:rsidRDefault="00D42069" w:rsidP="00D42069">
            <w:pPr>
              <w:pStyle w:val="TableMarginNote"/>
              <w:spacing w:line="240" w:lineRule="auto"/>
            </w:pPr>
          </w:p>
        </w:tc>
      </w:tr>
      <w:tr w:rsidR="00D42069" w14:paraId="308D3E2F" w14:textId="77777777">
        <w:tc>
          <w:tcPr>
            <w:tcW w:w="353" w:type="pct"/>
          </w:tcPr>
          <w:p w14:paraId="03DAC52C" w14:textId="77777777" w:rsidR="00D42069" w:rsidRDefault="00D42069" w:rsidP="00D42069">
            <w:pPr>
              <w:pStyle w:val="ocNum4th2"/>
              <w:keepNext/>
            </w:pPr>
            <w:r>
              <w:t>7.</w:t>
            </w:r>
          </w:p>
        </w:tc>
        <w:tc>
          <w:tcPr>
            <w:tcW w:w="1925" w:type="pct"/>
          </w:tcPr>
          <w:p w14:paraId="7ACACC59" w14:textId="77777777" w:rsidR="00D42069" w:rsidRDefault="00D42069" w:rsidP="00D42069">
            <w:pPr>
              <w:pStyle w:val="BodyText"/>
              <w:jc w:val="left"/>
              <w:rPr>
                <w:rFonts w:eastAsia="SimSun"/>
                <w:b/>
              </w:rPr>
            </w:pPr>
            <w:r>
              <w:rPr>
                <w:rFonts w:eastAsia="SimSun"/>
                <w:b/>
              </w:rPr>
              <w:t>EU BENCHMARK REGULATION</w:t>
            </w:r>
          </w:p>
        </w:tc>
        <w:tc>
          <w:tcPr>
            <w:tcW w:w="2247" w:type="pct"/>
          </w:tcPr>
          <w:p w14:paraId="510E6858" w14:textId="77777777" w:rsidR="00D42069" w:rsidRDefault="00D42069" w:rsidP="00D42069">
            <w:pPr>
              <w:pStyle w:val="BodyText"/>
              <w:rPr>
                <w:rFonts w:eastAsia="SimSun"/>
                <w:lang w:val="it-IT"/>
              </w:rPr>
            </w:pPr>
          </w:p>
        </w:tc>
        <w:tc>
          <w:tcPr>
            <w:tcW w:w="475" w:type="pct"/>
            <w:tcMar>
              <w:left w:w="108" w:type="dxa"/>
            </w:tcMar>
          </w:tcPr>
          <w:p w14:paraId="30C5D51B" w14:textId="77777777" w:rsidR="00D42069" w:rsidRDefault="00D42069" w:rsidP="00D42069">
            <w:pPr>
              <w:pStyle w:val="TableMarginNote"/>
              <w:spacing w:line="240" w:lineRule="auto"/>
            </w:pPr>
          </w:p>
        </w:tc>
      </w:tr>
      <w:tr w:rsidR="00D42069" w14:paraId="3568DEB7" w14:textId="77777777">
        <w:tc>
          <w:tcPr>
            <w:tcW w:w="353" w:type="pct"/>
          </w:tcPr>
          <w:p w14:paraId="35974E97" w14:textId="77777777" w:rsidR="00D42069" w:rsidRDefault="00D42069" w:rsidP="00D42069">
            <w:pPr>
              <w:pStyle w:val="BodyText"/>
            </w:pPr>
          </w:p>
        </w:tc>
        <w:tc>
          <w:tcPr>
            <w:tcW w:w="1925" w:type="pct"/>
          </w:tcPr>
          <w:p w14:paraId="08AED592" w14:textId="77777777" w:rsidR="00D42069" w:rsidRDefault="00D42069" w:rsidP="00D42069">
            <w:pPr>
              <w:pStyle w:val="BodyText"/>
              <w:jc w:val="left"/>
              <w:rPr>
                <w:rFonts w:eastAsia="SimSun"/>
              </w:rPr>
            </w:pPr>
          </w:p>
        </w:tc>
        <w:tc>
          <w:tcPr>
            <w:tcW w:w="2247" w:type="pct"/>
          </w:tcPr>
          <w:p w14:paraId="3643E5EE" w14:textId="77777777" w:rsidR="00D42069" w:rsidRDefault="00D42069" w:rsidP="00D42069">
            <w:pPr>
              <w:pStyle w:val="BodyText"/>
              <w:rPr>
                <w:rFonts w:eastAsia="SimSun"/>
                <w:lang w:val="it-IT"/>
              </w:rPr>
            </w:pPr>
            <w:r>
              <w:rPr>
                <w:rFonts w:eastAsia="SimSun"/>
                <w:lang w:val="it-IT"/>
              </w:rPr>
              <w:t>[Not Applicable]</w:t>
            </w:r>
          </w:p>
          <w:p w14:paraId="65D8B586" w14:textId="77777777" w:rsidR="00D42069" w:rsidRDefault="00D42069" w:rsidP="00D42069">
            <w:pPr>
              <w:pStyle w:val="BodyText"/>
              <w:rPr>
                <w:rFonts w:eastAsia="SimSun"/>
                <w:lang w:val="it-IT"/>
              </w:rPr>
            </w:pPr>
            <w:r>
              <w:rPr>
                <w:rFonts w:eastAsia="SimSun"/>
                <w:lang w:val="it-IT"/>
              </w:rPr>
              <w:t>[Applicable: Amounts payable under the Notes are calculated by reference to [</w:t>
            </w:r>
            <w:r>
              <w:rPr>
                <w:rFonts w:eastAsia="SimSun"/>
                <w:i/>
                <w:lang w:val="it-IT"/>
              </w:rPr>
              <w:t>insert name[s] of benchmark(s</w:t>
            </w:r>
            <w:r>
              <w:rPr>
                <w:rFonts w:eastAsia="SimSun"/>
                <w:lang w:val="it-IT"/>
              </w:rPr>
              <w:t>)], which [is/are] provided by [</w:t>
            </w:r>
            <w:r>
              <w:rPr>
                <w:rFonts w:eastAsia="SimSun"/>
                <w:i/>
                <w:lang w:val="it-IT"/>
              </w:rPr>
              <w:t>insert name[s] of the administrator[s] – if more than one specify in relation to each relevant benchmark</w:t>
            </w:r>
            <w:r>
              <w:rPr>
                <w:rFonts w:eastAsia="SimSun"/>
                <w:lang w:val="it-IT"/>
              </w:rPr>
              <w:t>].</w:t>
            </w:r>
          </w:p>
          <w:p w14:paraId="45B8BC42" w14:textId="77777777" w:rsidR="00D42069" w:rsidRDefault="00D42069" w:rsidP="00D42069">
            <w:pPr>
              <w:pStyle w:val="BodyText"/>
              <w:rPr>
                <w:rFonts w:eastAsia="SimSun"/>
                <w:lang w:val="it-IT"/>
              </w:rPr>
            </w:pPr>
            <w:r>
              <w:rPr>
                <w:rFonts w:eastAsia="SimSun"/>
                <w:lang w:val="it-IT"/>
              </w:rPr>
              <w:t>[As at the date of the Final Terms, [</w:t>
            </w:r>
            <w:r>
              <w:rPr>
                <w:rFonts w:eastAsia="SimSun"/>
                <w:i/>
                <w:lang w:val="it-IT"/>
              </w:rPr>
              <w:t>insert name[s] of the administrator[s]</w:t>
            </w:r>
            <w:r>
              <w:rPr>
                <w:rFonts w:eastAsia="SimSun"/>
                <w:lang w:val="it-IT"/>
              </w:rPr>
              <w:t>] [is/are] [not] included in the register of administrators and benchmarks established and maintained by the European Securities and Markets Authority [("</w:t>
            </w:r>
            <w:r>
              <w:rPr>
                <w:rFonts w:eastAsia="SimSun"/>
                <w:b/>
                <w:lang w:val="it-IT"/>
              </w:rPr>
              <w:t>ESMA</w:t>
            </w:r>
            <w:r>
              <w:rPr>
                <w:rFonts w:eastAsia="SimSun"/>
                <w:lang w:val="it-IT"/>
              </w:rPr>
              <w:t>")] pursuant to article 36 of the Benchmark Regulation (Regulation (EU) 2016/1011) [(the "</w:t>
            </w:r>
            <w:r>
              <w:rPr>
                <w:rFonts w:eastAsia="SimSun"/>
                <w:b/>
                <w:lang w:val="it-IT"/>
              </w:rPr>
              <w:t>BMR</w:t>
            </w:r>
            <w:r>
              <w:rPr>
                <w:rFonts w:eastAsia="SimSun"/>
                <w:lang w:val="it-IT"/>
              </w:rPr>
              <w:t>")].] [</w:t>
            </w:r>
            <w:r>
              <w:rPr>
                <w:rFonts w:eastAsia="SimSun"/>
                <w:i/>
                <w:lang w:val="it-IT"/>
              </w:rPr>
              <w:t>repeat as necessary</w:t>
            </w:r>
            <w:r>
              <w:rPr>
                <w:rFonts w:eastAsia="SimSun"/>
                <w:lang w:val="it-IT"/>
              </w:rPr>
              <w:t>]]</w:t>
            </w:r>
            <w:r>
              <w:rPr>
                <w:rFonts w:eastAsia="SimSun"/>
                <w:lang w:val="it-IT"/>
              </w:rPr>
              <w:tab/>
            </w:r>
          </w:p>
        </w:tc>
        <w:tc>
          <w:tcPr>
            <w:tcW w:w="475" w:type="pct"/>
            <w:tcMar>
              <w:left w:w="108" w:type="dxa"/>
            </w:tcMar>
          </w:tcPr>
          <w:p w14:paraId="5B1AFD00" w14:textId="77777777" w:rsidR="00D42069" w:rsidRDefault="00D42069" w:rsidP="00D42069">
            <w:pPr>
              <w:pStyle w:val="TableMarginNote"/>
              <w:spacing w:line="240" w:lineRule="auto"/>
            </w:pPr>
          </w:p>
        </w:tc>
      </w:tr>
    </w:tbl>
    <w:p w14:paraId="1334D3AC" w14:textId="77777777" w:rsidR="007409E1" w:rsidRDefault="007409E1">
      <w:pPr>
        <w:pStyle w:val="MarginText"/>
        <w:ind w:left="720"/>
        <w:jc w:val="center"/>
        <w:rPr>
          <w:b/>
        </w:rPr>
      </w:pPr>
      <w:r>
        <w:rPr>
          <w:b/>
        </w:rPr>
        <w:br w:type="page"/>
      </w:r>
    </w:p>
    <w:p w14:paraId="6CA92202" w14:textId="77777777" w:rsidR="007409E1" w:rsidRDefault="007409E1">
      <w:pPr>
        <w:pStyle w:val="SchHead"/>
      </w:pPr>
      <w:bookmarkStart w:id="23" w:name="_Ref493570423"/>
      <w:bookmarkStart w:id="24" w:name="_Ref493570434"/>
      <w:bookmarkStart w:id="25" w:name="_Toc60859029"/>
      <w:r>
        <w:t>Form of Dealer Accession Letter</w:t>
      </w:r>
      <w:bookmarkEnd w:id="23"/>
      <w:bookmarkEnd w:id="24"/>
      <w:bookmarkEnd w:id="25"/>
    </w:p>
    <w:p w14:paraId="2F8A8D3B" w14:textId="77777777" w:rsidR="007409E1" w:rsidRDefault="007409E1">
      <w:pPr>
        <w:pStyle w:val="MarginText"/>
        <w:spacing w:after="0"/>
      </w:pPr>
      <w:r>
        <w:t xml:space="preserve">[New Dealer] </w:t>
      </w:r>
    </w:p>
    <w:p w14:paraId="7158D67D" w14:textId="77777777" w:rsidR="007409E1" w:rsidRDefault="007409E1">
      <w:pPr>
        <w:pStyle w:val="MarginText"/>
      </w:pPr>
      <w:r>
        <w:t>[Address]</w:t>
      </w:r>
    </w:p>
    <w:p w14:paraId="7829733E" w14:textId="77777777" w:rsidR="007409E1" w:rsidRDefault="007409E1">
      <w:pPr>
        <w:pStyle w:val="MarginText"/>
      </w:pPr>
    </w:p>
    <w:p w14:paraId="6936F8D9" w14:textId="77777777" w:rsidR="007409E1" w:rsidRDefault="007409E1">
      <w:pPr>
        <w:pStyle w:val="MarginText"/>
      </w:pPr>
      <w:r>
        <w:t>Dear Sirs</w:t>
      </w:r>
    </w:p>
    <w:p w14:paraId="7CF58940" w14:textId="77777777" w:rsidR="007409E1" w:rsidRDefault="007409E1">
      <w:pPr>
        <w:pStyle w:val="MarginText"/>
        <w:rPr>
          <w:b/>
        </w:rPr>
      </w:pPr>
      <w:r>
        <w:rPr>
          <w:b/>
        </w:rPr>
        <w:t>ADIF-ALTA VELOCIDAD</w:t>
      </w:r>
      <w:r>
        <w:rPr>
          <w:b/>
        </w:rPr>
        <w:br/>
        <w:t xml:space="preserve">EUR </w:t>
      </w:r>
      <w:r w:rsidR="00E828BA">
        <w:rPr>
          <w:b/>
        </w:rPr>
        <w:t>8</w:t>
      </w:r>
      <w:r>
        <w:rPr>
          <w:b/>
        </w:rPr>
        <w:t>,000,000,000</w:t>
      </w:r>
      <w:r>
        <w:rPr>
          <w:b/>
        </w:rPr>
        <w:br/>
        <w:t>Euro Medium Term Note Programme</w:t>
      </w:r>
    </w:p>
    <w:p w14:paraId="729F5615" w14:textId="77777777" w:rsidR="007409E1" w:rsidRDefault="007409E1">
      <w:pPr>
        <w:pStyle w:val="MarginText"/>
      </w:pPr>
      <w:r>
        <w:t xml:space="preserve">We refer to our Euro Medium Term Note Programme (the </w:t>
      </w:r>
      <w:r>
        <w:rPr>
          <w:b/>
        </w:rPr>
        <w:t>"Programme"</w:t>
      </w:r>
      <w:r>
        <w:t>) for the issuance of notes, in connection with which we have entered into an amended and restated dealer agreement dated [</w:t>
      </w:r>
      <w:r>
        <w:rPr>
          <w:i/>
        </w:rPr>
        <w:t>date</w:t>
      </w:r>
      <w:r>
        <w:t xml:space="preserve">] (the </w:t>
      </w:r>
      <w:r>
        <w:rPr>
          <w:b/>
        </w:rPr>
        <w:t>"Dealer Agreement"</w:t>
      </w:r>
      <w:r>
        <w:t>).  All terms and expressions which have defined meanings in the Dealer Agreement shall have the same meanings in this letter except where the context requires otherwise or unless otherwise stated.</w:t>
      </w:r>
    </w:p>
    <w:p w14:paraId="65B64AF4" w14:textId="77777777" w:rsidR="007409E1" w:rsidRDefault="007409E1">
      <w:pPr>
        <w:pStyle w:val="MarginText"/>
      </w:pPr>
      <w:r>
        <w:t>We have pleasure in inviting you to become a Dealer upon the terms of the Dealer Agreement [but only in respect of [</w:t>
      </w:r>
      <w:r>
        <w:rPr>
          <w:i/>
        </w:rPr>
        <w:t>specify Tranche of Notes</w:t>
      </w:r>
      <w:r>
        <w:t xml:space="preserve"> (the </w:t>
      </w:r>
      <w:r>
        <w:rPr>
          <w:b/>
        </w:rPr>
        <w:t>"Notes"</w:t>
      </w:r>
      <w:r>
        <w:t>)]], a copy of which has been supplied to you by us.</w:t>
      </w:r>
    </w:p>
    <w:p w14:paraId="1D665F10" w14:textId="77777777" w:rsidR="007409E1" w:rsidRDefault="007409E1">
      <w:pPr>
        <w:pStyle w:val="MarginText"/>
      </w:pPr>
      <w:r>
        <w:t>We are enclosing such copies of the conditions precedent as set out in schedule 2 (</w:t>
      </w:r>
      <w:r>
        <w:rPr>
          <w:i/>
        </w:rPr>
        <w:t>Initial Conditions Precedent</w:t>
      </w:r>
      <w:r>
        <w:t xml:space="preserve">) to the Dealer Agreement as you have requested together with copies of any updates or supplements thereto as have been delivered to the existing Dealers.  In addition, we enclose letters from [DLA Piper Spain S.L, Watson, Farley &amp; Williams Spain, SL and </w:t>
      </w:r>
      <w:r w:rsidR="002D57C7" w:rsidRPr="002D57C7">
        <w:t>PKF A</w:t>
      </w:r>
      <w:r w:rsidR="002D57C7">
        <w:t>ttest Servicios Empresariales</w:t>
      </w:r>
      <w:r w:rsidR="002D57C7" w:rsidRPr="002D57C7">
        <w:t>, S.L.</w:t>
      </w:r>
      <w:r>
        <w:t>] entitling you to rely on the original letters referred to therein.</w:t>
      </w:r>
    </w:p>
    <w:p w14:paraId="7B59BC48" w14:textId="77777777" w:rsidR="007409E1" w:rsidRDefault="007409E1">
      <w:pPr>
        <w:pStyle w:val="MarginText"/>
      </w:pPr>
      <w:r>
        <w:t>Please return a copy of this letter to us signed by an authorised signatory whereupon you will become a Dealer for the purposes of the Dealer Agreement with [,subject as hereinafter provided,] all the authority, rights, powers, duties and obligations of a Dealer under the Dealer Agreement [except that, following the issue of the Notes, you shall have no further authority, rights, powers, duties or obligations except such as may have accrued or been incurred prior to, or in connection with, the issue of the Notes].</w:t>
      </w:r>
    </w:p>
    <w:p w14:paraId="3C98FD55" w14:textId="77777777" w:rsidR="007409E1" w:rsidRDefault="007409E1">
      <w:pPr>
        <w:pStyle w:val="MarginText"/>
      </w:pPr>
      <w:r>
        <w:t>This letter and any non-contractual obligations arising out of or in connection with it are governed by English law.  The provisions of clause 1</w:t>
      </w:r>
      <w:r w:rsidR="000562E2">
        <w:t>8</w:t>
      </w:r>
      <w:r>
        <w:t xml:space="preserve"> (</w:t>
      </w:r>
      <w:r>
        <w:rPr>
          <w:i/>
        </w:rPr>
        <w:t>Law and Jurisdiction</w:t>
      </w:r>
      <w:r>
        <w:t>) of the Dealer Agreement shall apply to this letter as if set out herein in full.</w:t>
      </w:r>
    </w:p>
    <w:p w14:paraId="543B845D" w14:textId="77777777" w:rsidR="007409E1" w:rsidRDefault="007409E1">
      <w:pPr>
        <w:pStyle w:val="MarginText"/>
      </w:pPr>
      <w:r>
        <w:t>Yours faithfully</w:t>
      </w:r>
    </w:p>
    <w:p w14:paraId="0A51BF80" w14:textId="77777777" w:rsidR="007409E1" w:rsidRDefault="007409E1">
      <w:pPr>
        <w:pStyle w:val="MarginText"/>
      </w:pPr>
    </w:p>
    <w:p w14:paraId="7D2C518F" w14:textId="77777777" w:rsidR="007409E1" w:rsidRDefault="007409E1">
      <w:pPr>
        <w:pStyle w:val="MarginText"/>
        <w:spacing w:after="0"/>
      </w:pPr>
      <w:r>
        <w:t>For and on behalf of</w:t>
      </w:r>
    </w:p>
    <w:p w14:paraId="2841E6C4" w14:textId="77777777" w:rsidR="007409E1" w:rsidRDefault="007409E1">
      <w:pPr>
        <w:pStyle w:val="MarginText"/>
        <w:rPr>
          <w:b/>
        </w:rPr>
      </w:pPr>
      <w:r>
        <w:rPr>
          <w:b/>
        </w:rPr>
        <w:t>ADIF-ALTA VELOCIDAD</w:t>
      </w:r>
    </w:p>
    <w:p w14:paraId="033EC4F3" w14:textId="77777777" w:rsidR="007409E1" w:rsidRDefault="007409E1">
      <w:pPr>
        <w:pStyle w:val="MarginText"/>
      </w:pPr>
      <w:r>
        <w:t>By:</w:t>
      </w:r>
    </w:p>
    <w:p w14:paraId="1A16464B" w14:textId="77777777" w:rsidR="007409E1" w:rsidRDefault="007409E1">
      <w:pPr>
        <w:pStyle w:val="MarginText"/>
        <w:rPr>
          <w:b/>
        </w:rPr>
      </w:pPr>
      <w:r>
        <w:br w:type="page"/>
      </w:r>
      <w:r>
        <w:rPr>
          <w:b/>
        </w:rPr>
        <w:t>CONFIRMATION</w:t>
      </w:r>
    </w:p>
    <w:p w14:paraId="63935E93" w14:textId="77777777" w:rsidR="007409E1" w:rsidRDefault="007409E1">
      <w:pPr>
        <w:pStyle w:val="MarginText"/>
      </w:pPr>
      <w:r>
        <w:t>We hereby accept our appointment as a Dealer under the Dealer Agreement upon the terms of this letter [but only in respect of [</w:t>
      </w:r>
      <w:r>
        <w:rPr>
          <w:i/>
        </w:rPr>
        <w:t>specify Tranche of Notes</w:t>
      </w:r>
      <w:r>
        <w:t>]].</w:t>
      </w:r>
    </w:p>
    <w:p w14:paraId="27A00824" w14:textId="77777777" w:rsidR="007409E1" w:rsidRDefault="007409E1">
      <w:pPr>
        <w:pStyle w:val="MarginText"/>
      </w:pPr>
      <w:r>
        <w:t>We confirm that we are in receipt of all the documents which we have requested and have found them to be satisfactory.</w:t>
      </w:r>
    </w:p>
    <w:p w14:paraId="416525A5" w14:textId="77777777" w:rsidR="007409E1" w:rsidRDefault="007409E1">
      <w:pPr>
        <w:pStyle w:val="MarginText"/>
      </w:pPr>
      <w:r>
        <w:t>For the purposes of the Dealer Agreement our communication details are as set out below.</w:t>
      </w:r>
    </w:p>
    <w:p w14:paraId="6061F93D" w14:textId="77777777" w:rsidR="007409E1" w:rsidRDefault="007409E1">
      <w:pPr>
        <w:pStyle w:val="MarginText"/>
      </w:pPr>
      <w:r>
        <w:t>For and on behalf of</w:t>
      </w:r>
    </w:p>
    <w:p w14:paraId="29A3923F" w14:textId="77777777" w:rsidR="007409E1" w:rsidRDefault="007409E1">
      <w:pPr>
        <w:pStyle w:val="MarginText"/>
      </w:pPr>
      <w:r>
        <w:t>[</w:t>
      </w:r>
      <w:r>
        <w:rPr>
          <w:b/>
        </w:rPr>
        <w:t>NEW DEALER</w:t>
      </w:r>
      <w:r>
        <w:t>]</w:t>
      </w:r>
    </w:p>
    <w:p w14:paraId="032E42BF" w14:textId="77777777" w:rsidR="007409E1" w:rsidRDefault="007409E1">
      <w:pPr>
        <w:pStyle w:val="MarginText"/>
      </w:pPr>
      <w:r>
        <w:t xml:space="preserve">By: </w:t>
      </w:r>
    </w:p>
    <w:p w14:paraId="20C35448" w14:textId="77777777" w:rsidR="007409E1" w:rsidRDefault="007409E1">
      <w:pPr>
        <w:pStyle w:val="MarginText"/>
      </w:pPr>
      <w:r>
        <w:t>Date:</w:t>
      </w:r>
    </w:p>
    <w:p w14:paraId="00851F29" w14:textId="77777777" w:rsidR="007409E1" w:rsidRDefault="007409E1">
      <w:pPr>
        <w:pStyle w:val="MarginText"/>
        <w:tabs>
          <w:tab w:val="left" w:pos="1440"/>
        </w:tabs>
      </w:pPr>
      <w:r>
        <w:t>Address:</w:t>
      </w:r>
      <w:r>
        <w:tab/>
        <w:t>[</w:t>
      </w:r>
      <w:r>
        <w:rPr>
          <w:rFonts w:ascii="Wingdings" w:hAnsi="Wingdings"/>
        </w:rPr>
        <w:t></w:t>
      </w:r>
      <w:r>
        <w:rPr>
          <w:rFonts w:hint="eastAsia"/>
        </w:rPr>
        <w:t>                    </w:t>
      </w:r>
      <w:r>
        <w:t>]</w:t>
      </w:r>
    </w:p>
    <w:p w14:paraId="0E091993" w14:textId="77777777" w:rsidR="007409E1" w:rsidRDefault="007409E1">
      <w:pPr>
        <w:pStyle w:val="MarginText"/>
        <w:tabs>
          <w:tab w:val="left" w:pos="1440"/>
        </w:tabs>
      </w:pPr>
      <w:r>
        <w:t>[Telex:</w:t>
      </w:r>
      <w:r>
        <w:tab/>
        <w:t>[</w:t>
      </w:r>
      <w:r>
        <w:rPr>
          <w:rFonts w:ascii="Wingdings" w:hAnsi="Wingdings"/>
        </w:rPr>
        <w:t></w:t>
      </w:r>
      <w:r>
        <w:rPr>
          <w:rFonts w:hint="eastAsia"/>
        </w:rPr>
        <w:t>                    </w:t>
      </w:r>
      <w:r>
        <w:t>]]</w:t>
      </w:r>
    </w:p>
    <w:p w14:paraId="0E26E04B" w14:textId="77777777" w:rsidR="007409E1" w:rsidRDefault="007409E1">
      <w:pPr>
        <w:pStyle w:val="MarginText"/>
        <w:tabs>
          <w:tab w:val="left" w:pos="1440"/>
        </w:tabs>
      </w:pPr>
      <w:r>
        <w:t>Fax:</w:t>
      </w:r>
      <w:r>
        <w:tab/>
        <w:t>+ [</w:t>
      </w:r>
      <w:r>
        <w:rPr>
          <w:rFonts w:ascii="Wingdings" w:hAnsi="Wingdings"/>
        </w:rPr>
        <w:t></w:t>
      </w:r>
      <w:r>
        <w:rPr>
          <w:rFonts w:hint="eastAsia"/>
        </w:rPr>
        <w:t>                    </w:t>
      </w:r>
      <w:r>
        <w:t>]</w:t>
      </w:r>
    </w:p>
    <w:p w14:paraId="04774B98" w14:textId="77777777" w:rsidR="007409E1" w:rsidRDefault="007409E1">
      <w:pPr>
        <w:pStyle w:val="MarginText"/>
        <w:tabs>
          <w:tab w:val="left" w:pos="1440"/>
        </w:tabs>
      </w:pPr>
      <w:r>
        <w:t>Attention:</w:t>
      </w:r>
      <w:r>
        <w:tab/>
        <w:t>[</w:t>
      </w:r>
      <w:r>
        <w:rPr>
          <w:rFonts w:ascii="Wingdings" w:hAnsi="Wingdings"/>
        </w:rPr>
        <w:t></w:t>
      </w:r>
      <w:r>
        <w:rPr>
          <w:rFonts w:hint="eastAsia"/>
        </w:rPr>
        <w:t>                    </w:t>
      </w:r>
      <w:r>
        <w:t>]</w:t>
      </w:r>
    </w:p>
    <w:p w14:paraId="6F9BB3BC" w14:textId="77777777" w:rsidR="007409E1" w:rsidRDefault="007409E1">
      <w:pPr>
        <w:pStyle w:val="MarginText"/>
      </w:pPr>
    </w:p>
    <w:p w14:paraId="434B2D9E" w14:textId="77777777" w:rsidR="007409E1" w:rsidRDefault="007409E1">
      <w:pPr>
        <w:pStyle w:val="MarginText"/>
      </w:pPr>
      <w:r>
        <w:t>[copies to:</w:t>
      </w:r>
    </w:p>
    <w:p w14:paraId="3621E170" w14:textId="77777777" w:rsidR="007409E1" w:rsidRDefault="007409E1">
      <w:pPr>
        <w:pStyle w:val="MarginText"/>
      </w:pPr>
      <w:r>
        <w:t>(i)</w:t>
      </w:r>
      <w:r>
        <w:tab/>
        <w:t>all existing Dealers who have been appointed in respect of the Programme generally;</w:t>
      </w:r>
    </w:p>
    <w:p w14:paraId="4CD253C3" w14:textId="77777777" w:rsidR="007409E1" w:rsidRDefault="007409E1">
      <w:pPr>
        <w:pStyle w:val="MarginText"/>
      </w:pPr>
      <w:r>
        <w:t>(ii)</w:t>
      </w:r>
      <w:r>
        <w:tab/>
        <w:t>the existing Fiscal Agent.]</w:t>
      </w:r>
    </w:p>
    <w:p w14:paraId="3BE44405" w14:textId="77777777" w:rsidR="007409E1" w:rsidRDefault="007409E1">
      <w:pPr>
        <w:pStyle w:val="SchHead"/>
      </w:pPr>
      <w:r>
        <w:br w:type="page"/>
      </w:r>
      <w:bookmarkStart w:id="26" w:name="_Toc60859030"/>
      <w:r>
        <w:t>Form of Notice of increase of Authorised Amount</w:t>
      </w:r>
      <w:bookmarkEnd w:id="26"/>
    </w:p>
    <w:p w14:paraId="3F124809" w14:textId="77777777" w:rsidR="007409E1" w:rsidRDefault="007409E1">
      <w:pPr>
        <w:pStyle w:val="MarginText"/>
        <w:ind w:left="720" w:hanging="720"/>
      </w:pPr>
      <w:r>
        <w:t>To:</w:t>
      </w:r>
      <w:r>
        <w:tab/>
        <w:t>[list all current Dealers appointed in</w:t>
      </w:r>
      <w:r>
        <w:br/>
        <w:t>respect of the Programme generally, and each of the</w:t>
      </w:r>
      <w:r>
        <w:br/>
        <w:t>Paying Agents]</w:t>
      </w:r>
    </w:p>
    <w:p w14:paraId="3B626167" w14:textId="77777777" w:rsidR="007409E1" w:rsidRDefault="007409E1">
      <w:pPr>
        <w:pStyle w:val="MarginText"/>
      </w:pPr>
    </w:p>
    <w:p w14:paraId="483F87FB" w14:textId="77777777" w:rsidR="007409E1" w:rsidRDefault="007409E1">
      <w:pPr>
        <w:pStyle w:val="MarginText"/>
      </w:pPr>
      <w:r>
        <w:t>Dear Sirs</w:t>
      </w:r>
    </w:p>
    <w:p w14:paraId="485080AC" w14:textId="77777777" w:rsidR="007409E1" w:rsidRDefault="007409E1">
      <w:pPr>
        <w:pStyle w:val="MarginText"/>
        <w:rPr>
          <w:b/>
        </w:rPr>
      </w:pPr>
      <w:r>
        <w:rPr>
          <w:b/>
        </w:rPr>
        <w:t>ADIF-ALTA VELOCIDAD</w:t>
      </w:r>
      <w:r>
        <w:rPr>
          <w:b/>
        </w:rPr>
        <w:br/>
        <w:t xml:space="preserve">EUR </w:t>
      </w:r>
      <w:r w:rsidR="00E828BA">
        <w:rPr>
          <w:b/>
        </w:rPr>
        <w:t>8</w:t>
      </w:r>
      <w:r>
        <w:rPr>
          <w:b/>
        </w:rPr>
        <w:t>,000,000,000</w:t>
      </w:r>
      <w:r>
        <w:rPr>
          <w:b/>
        </w:rPr>
        <w:br/>
        <w:t>Euro Medium Term Note Programme</w:t>
      </w:r>
    </w:p>
    <w:p w14:paraId="5365342E" w14:textId="77777777" w:rsidR="007409E1" w:rsidRDefault="007409E1">
      <w:pPr>
        <w:pStyle w:val="MarginText"/>
      </w:pPr>
      <w:r>
        <w:t xml:space="preserve">We refer to our Euro Medium Term Note Programme (the </w:t>
      </w:r>
      <w:r>
        <w:rPr>
          <w:b/>
        </w:rPr>
        <w:t>"Programme"</w:t>
      </w:r>
      <w:r>
        <w:t>) for the issuance of notes, in connection with which we have entered into an amended and restated dealer agreement dated [</w:t>
      </w:r>
      <w:r>
        <w:rPr>
          <w:i/>
        </w:rPr>
        <w:t>date</w:t>
      </w:r>
      <w:r>
        <w:t xml:space="preserve">] (the </w:t>
      </w:r>
      <w:r>
        <w:rPr>
          <w:b/>
        </w:rPr>
        <w:t>"Dealer Agreement"</w:t>
      </w:r>
      <w:r>
        <w:t>).  All terms and expressions which have defined meanings in the Dealer Agreement shall have the same meanings in this letter except where the context requires otherwise or unless otherwise stated.</w:t>
      </w:r>
    </w:p>
    <w:p w14:paraId="6C8F9F8D" w14:textId="77777777" w:rsidR="007409E1" w:rsidRDefault="007409E1">
      <w:pPr>
        <w:pStyle w:val="MarginText"/>
      </w:pPr>
      <w:r>
        <w:t>Pursuant to clause 14 (</w:t>
      </w:r>
      <w:r>
        <w:rPr>
          <w:i/>
        </w:rPr>
        <w:t>Increase in Authorised Amount</w:t>
      </w:r>
      <w:r>
        <w:t>) of the Dealer Agreement, we hereby notify you that the Authorised Amount of the Programme will be increased from EUR </w:t>
      </w:r>
      <w:r w:rsidR="00E828BA">
        <w:t>8</w:t>
      </w:r>
      <w:r>
        <w:t>,000,000,000 to [</w:t>
      </w:r>
      <w:r>
        <w:rPr>
          <w:i/>
        </w:rPr>
        <w:t>currency</w:t>
      </w:r>
      <w:r>
        <w:t>] [</w:t>
      </w:r>
      <w:r>
        <w:rPr>
          <w:i/>
        </w:rPr>
        <w:t>amount</w:t>
      </w:r>
      <w:r>
        <w:t>] with effect from [</w:t>
      </w:r>
      <w:r>
        <w:rPr>
          <w:i/>
        </w:rPr>
        <w:t>date</w:t>
      </w:r>
      <w:r>
        <w:t>] or such later date upon which the requirements of clause 14.2 (</w:t>
      </w:r>
      <w:r>
        <w:rPr>
          <w:i/>
        </w:rPr>
        <w:t>Effectiveness</w:t>
      </w:r>
      <w:r>
        <w:t>) of the Dealer Agreement shall be fulfilled, subject always to the provisions of clause 14.2 (</w:t>
      </w:r>
      <w:r>
        <w:rPr>
          <w:i/>
        </w:rPr>
        <w:t>Effectiveness</w:t>
      </w:r>
      <w:r>
        <w:t>) of the Dealer Agreement.</w:t>
      </w:r>
    </w:p>
    <w:p w14:paraId="5CE8D211" w14:textId="77777777" w:rsidR="007409E1" w:rsidRDefault="007409E1">
      <w:pPr>
        <w:pStyle w:val="MarginText"/>
      </w:pPr>
      <w:r>
        <w:t>Unless we receive notice to the contrary from you no later than [ten] days after your receipt of copies of the condition precedent documents set out in clause 14.2(a) of the Dealer Agreement, you will be deemed to consider such documents and confirmations to be satisfactory.</w:t>
      </w:r>
    </w:p>
    <w:p w14:paraId="6ACFBB1A" w14:textId="77777777" w:rsidR="007409E1" w:rsidRDefault="007409E1">
      <w:pPr>
        <w:pStyle w:val="MarginText"/>
      </w:pPr>
      <w:r>
        <w:t>From the date upon which the increase in the Authorised Amount becomes effective, all references in the Dealer Agreement to the Programme and the Authorised Amount being in a certain principal amount shall be to the increased principal amount as specified herein.</w:t>
      </w:r>
    </w:p>
    <w:p w14:paraId="3E49C7FC" w14:textId="77777777" w:rsidR="007409E1" w:rsidRDefault="007409E1">
      <w:pPr>
        <w:pStyle w:val="MarginText"/>
      </w:pPr>
      <w:r>
        <w:t>This letter and any non-contractual obligations arising out of or in connection with it are governed by English law.  The provisions of clause 1</w:t>
      </w:r>
      <w:r w:rsidR="000562E2">
        <w:t>8</w:t>
      </w:r>
      <w:r>
        <w:t xml:space="preserve"> (</w:t>
      </w:r>
      <w:r>
        <w:rPr>
          <w:i/>
        </w:rPr>
        <w:t>Law and Jurisdiction</w:t>
      </w:r>
      <w:r>
        <w:t>) of the Dealer Agreement shall apply to this letter as if set out herein in full.</w:t>
      </w:r>
    </w:p>
    <w:p w14:paraId="2F89EBFC" w14:textId="77777777" w:rsidR="007409E1" w:rsidRDefault="007409E1">
      <w:pPr>
        <w:pStyle w:val="MarginText"/>
      </w:pPr>
      <w:r>
        <w:t>Yours faithfully,</w:t>
      </w:r>
    </w:p>
    <w:p w14:paraId="592EE96E" w14:textId="77777777" w:rsidR="007409E1" w:rsidRDefault="007409E1">
      <w:pPr>
        <w:pStyle w:val="MarginText"/>
      </w:pPr>
    </w:p>
    <w:p w14:paraId="77BDF45A" w14:textId="77777777" w:rsidR="007409E1" w:rsidRDefault="007409E1">
      <w:pPr>
        <w:pStyle w:val="MarginText"/>
        <w:spacing w:after="0"/>
      </w:pPr>
      <w:r>
        <w:t>For and on behalf of</w:t>
      </w:r>
    </w:p>
    <w:p w14:paraId="4D542744" w14:textId="77777777" w:rsidR="007409E1" w:rsidRDefault="007409E1">
      <w:pPr>
        <w:pStyle w:val="MarginText"/>
        <w:rPr>
          <w:b/>
        </w:rPr>
      </w:pPr>
      <w:r>
        <w:rPr>
          <w:b/>
        </w:rPr>
        <w:t>ADIF-ALTA VELOCIDAD</w:t>
      </w:r>
    </w:p>
    <w:p w14:paraId="30733E3C" w14:textId="77777777" w:rsidR="007409E1" w:rsidRDefault="007409E1">
      <w:pPr>
        <w:pStyle w:val="MarginText"/>
      </w:pPr>
      <w:r>
        <w:t>By:</w:t>
      </w:r>
    </w:p>
    <w:p w14:paraId="5027582A" w14:textId="77777777" w:rsidR="007409E1" w:rsidRDefault="007409E1">
      <w:pPr>
        <w:pStyle w:val="SchHead"/>
      </w:pPr>
      <w:r>
        <w:br w:type="page"/>
      </w:r>
      <w:bookmarkStart w:id="27" w:name="_Toc60859031"/>
      <w:r>
        <w:t>Notice and contact details</w:t>
      </w:r>
      <w:bookmarkEnd w:id="27"/>
    </w:p>
    <w:p w14:paraId="106E3155" w14:textId="77777777" w:rsidR="007409E1" w:rsidRDefault="007409E1">
      <w:pPr>
        <w:pStyle w:val="MarginText"/>
        <w:keepNext/>
        <w:rPr>
          <w:b/>
        </w:rPr>
      </w:pPr>
      <w:r>
        <w:rPr>
          <w:b/>
        </w:rPr>
        <w:t>THE ISSUER</w:t>
      </w:r>
    </w:p>
    <w:p w14:paraId="6E6736D5" w14:textId="77777777" w:rsidR="007409E1" w:rsidRDefault="007409E1">
      <w:pPr>
        <w:pStyle w:val="MarginText"/>
        <w:rPr>
          <w:b/>
        </w:rPr>
      </w:pPr>
      <w:r>
        <w:rPr>
          <w:b/>
        </w:rPr>
        <w:t>ADIF-ALTA VELOCIDAD</w:t>
      </w:r>
    </w:p>
    <w:p w14:paraId="08AF88FC" w14:textId="77777777" w:rsidR="007409E1" w:rsidRPr="003474CB" w:rsidRDefault="007409E1" w:rsidP="003474CB">
      <w:pPr>
        <w:pStyle w:val="MarginText"/>
        <w:tabs>
          <w:tab w:val="left" w:pos="1440"/>
        </w:tabs>
        <w:spacing w:after="0"/>
      </w:pPr>
      <w:r>
        <w:t>Address:</w:t>
      </w:r>
      <w:r>
        <w:tab/>
      </w:r>
      <w:r w:rsidR="003474CB">
        <w:t xml:space="preserve">Calle </w:t>
      </w:r>
      <w:r w:rsidR="003474CB" w:rsidRPr="003474CB">
        <w:t>Titán, 4-6, planta 4</w:t>
      </w:r>
    </w:p>
    <w:p w14:paraId="5126EBE9" w14:textId="77777777" w:rsidR="007409E1" w:rsidRDefault="007409E1">
      <w:pPr>
        <w:pStyle w:val="MarginText"/>
        <w:tabs>
          <w:tab w:val="left" w:pos="1440"/>
        </w:tabs>
        <w:spacing w:after="0"/>
        <w:ind w:left="1440"/>
        <w:rPr>
          <w:lang w:val="es-ES"/>
        </w:rPr>
      </w:pPr>
      <w:r>
        <w:rPr>
          <w:lang w:val="es-ES"/>
        </w:rPr>
        <w:t>280</w:t>
      </w:r>
      <w:r w:rsidR="003474CB">
        <w:rPr>
          <w:lang w:val="es-ES"/>
        </w:rPr>
        <w:t>45</w:t>
      </w:r>
      <w:r>
        <w:rPr>
          <w:lang w:val="es-ES"/>
        </w:rPr>
        <w:t xml:space="preserve"> Madrid</w:t>
      </w:r>
    </w:p>
    <w:p w14:paraId="5D35249B" w14:textId="77777777" w:rsidR="007409E1" w:rsidRDefault="007409E1">
      <w:pPr>
        <w:pStyle w:val="MarginText"/>
        <w:tabs>
          <w:tab w:val="left" w:pos="1440"/>
        </w:tabs>
        <w:ind w:left="1440"/>
        <w:rPr>
          <w:lang w:val="es-ES"/>
        </w:rPr>
      </w:pPr>
      <w:r>
        <w:rPr>
          <w:lang w:val="es-ES"/>
        </w:rPr>
        <w:t>Spain</w:t>
      </w:r>
    </w:p>
    <w:p w14:paraId="5ACA3BC7" w14:textId="77777777" w:rsidR="007409E1" w:rsidRDefault="007409E1">
      <w:pPr>
        <w:pStyle w:val="MarginText"/>
        <w:tabs>
          <w:tab w:val="left" w:pos="1440"/>
        </w:tabs>
        <w:rPr>
          <w:lang w:val="es-ES"/>
        </w:rPr>
      </w:pPr>
      <w:r>
        <w:rPr>
          <w:lang w:val="es-ES"/>
        </w:rPr>
        <w:t>Tel:</w:t>
      </w:r>
      <w:r>
        <w:rPr>
          <w:lang w:val="es-ES"/>
        </w:rPr>
        <w:tab/>
        <w:t>+34 91 767 4425</w:t>
      </w:r>
    </w:p>
    <w:p w14:paraId="1B642999" w14:textId="77777777" w:rsidR="007409E1" w:rsidRDefault="007409E1">
      <w:pPr>
        <w:pStyle w:val="MarginText"/>
        <w:tabs>
          <w:tab w:val="left" w:pos="1440"/>
        </w:tabs>
        <w:rPr>
          <w:lang w:val="es-ES"/>
        </w:rPr>
      </w:pPr>
      <w:r>
        <w:rPr>
          <w:lang w:val="es-ES"/>
        </w:rPr>
        <w:t>Fax:</w:t>
      </w:r>
      <w:r>
        <w:rPr>
          <w:lang w:val="es-ES"/>
        </w:rPr>
        <w:tab/>
        <w:t>+34 91 767 4489</w:t>
      </w:r>
    </w:p>
    <w:p w14:paraId="6C9C8010" w14:textId="77777777" w:rsidR="007409E1" w:rsidRDefault="007409E1">
      <w:pPr>
        <w:pStyle w:val="MarginText"/>
        <w:tabs>
          <w:tab w:val="left" w:pos="1440"/>
        </w:tabs>
        <w:rPr>
          <w:lang w:val="fr-FR"/>
        </w:rPr>
      </w:pPr>
      <w:r>
        <w:rPr>
          <w:lang w:val="fr-FR"/>
        </w:rPr>
        <w:t>Attention:</w:t>
      </w:r>
      <w:r>
        <w:rPr>
          <w:lang w:val="fr-FR"/>
        </w:rPr>
        <w:tab/>
        <w:t>María José López Espina</w:t>
      </w:r>
    </w:p>
    <w:p w14:paraId="4AE9C978" w14:textId="77777777" w:rsidR="007409E1" w:rsidRDefault="007409E1">
      <w:pPr>
        <w:pStyle w:val="MarginText"/>
        <w:tabs>
          <w:tab w:val="left" w:pos="1440"/>
        </w:tabs>
        <w:rPr>
          <w:lang w:val="fr-FR"/>
        </w:rPr>
      </w:pPr>
      <w:r>
        <w:rPr>
          <w:lang w:val="fr-FR"/>
        </w:rPr>
        <w:t>Email:</w:t>
      </w:r>
      <w:r>
        <w:rPr>
          <w:lang w:val="fr-FR"/>
        </w:rPr>
        <w:tab/>
        <w:t xml:space="preserve">gestion.financiera@adifaltavelocidad.es </w:t>
      </w:r>
    </w:p>
    <w:p w14:paraId="05E2CA8D" w14:textId="77777777" w:rsidR="007409E1" w:rsidRDefault="007409E1">
      <w:pPr>
        <w:pStyle w:val="MarginText"/>
        <w:tabs>
          <w:tab w:val="left" w:pos="1440"/>
        </w:tabs>
        <w:rPr>
          <w:b/>
          <w:lang w:val="fr-FR"/>
        </w:rPr>
      </w:pPr>
    </w:p>
    <w:p w14:paraId="68814169" w14:textId="77777777" w:rsidR="007409E1" w:rsidRDefault="007409E1">
      <w:pPr>
        <w:pStyle w:val="MarginText"/>
        <w:keepNext/>
        <w:tabs>
          <w:tab w:val="left" w:pos="1440"/>
        </w:tabs>
        <w:rPr>
          <w:b/>
        </w:rPr>
      </w:pPr>
      <w:r>
        <w:rPr>
          <w:b/>
        </w:rPr>
        <w:t>THE DEALERS</w:t>
      </w:r>
    </w:p>
    <w:p w14:paraId="41B75035" w14:textId="77777777" w:rsidR="007409E1" w:rsidRDefault="007409E1">
      <w:pPr>
        <w:pStyle w:val="MarginText"/>
        <w:tabs>
          <w:tab w:val="left" w:pos="1440"/>
        </w:tabs>
        <w:rPr>
          <w:b/>
          <w:lang w:val="es-ES"/>
        </w:rPr>
      </w:pPr>
      <w:r>
        <w:rPr>
          <w:b/>
          <w:lang w:val="es-ES"/>
        </w:rPr>
        <w:t>BANCO BILBAO VIZCAYA ARGENTARIA, S.A.</w:t>
      </w:r>
    </w:p>
    <w:p w14:paraId="308CCCC8" w14:textId="77777777" w:rsidR="00356370" w:rsidRDefault="007409E1">
      <w:pPr>
        <w:pStyle w:val="MarginText"/>
        <w:tabs>
          <w:tab w:val="left" w:pos="1440"/>
        </w:tabs>
        <w:spacing w:after="0"/>
        <w:rPr>
          <w:lang w:val="es-ES"/>
        </w:rPr>
      </w:pPr>
      <w:r>
        <w:rPr>
          <w:lang w:val="es-ES"/>
        </w:rPr>
        <w:t>Address:</w:t>
      </w:r>
      <w:r>
        <w:rPr>
          <w:lang w:val="es-ES"/>
        </w:rPr>
        <w:tab/>
      </w:r>
      <w:r w:rsidR="00356370">
        <w:rPr>
          <w:lang w:val="es-ES"/>
        </w:rPr>
        <w:t>Ciudad BBVA</w:t>
      </w:r>
    </w:p>
    <w:p w14:paraId="2498F218" w14:textId="77777777" w:rsidR="007409E1" w:rsidRDefault="00356370">
      <w:pPr>
        <w:pStyle w:val="MarginText"/>
        <w:tabs>
          <w:tab w:val="left" w:pos="1440"/>
        </w:tabs>
        <w:spacing w:after="0"/>
        <w:rPr>
          <w:lang w:val="es-ES"/>
        </w:rPr>
      </w:pPr>
      <w:r>
        <w:rPr>
          <w:lang w:val="es-ES"/>
        </w:rPr>
        <w:tab/>
      </w:r>
      <w:r w:rsidR="007409E1">
        <w:rPr>
          <w:lang w:val="es-ES"/>
        </w:rPr>
        <w:t>Calle Sauceda</w:t>
      </w:r>
      <w:r>
        <w:rPr>
          <w:lang w:val="es-ES"/>
        </w:rPr>
        <w:t>,</w:t>
      </w:r>
      <w:r w:rsidR="007409E1">
        <w:rPr>
          <w:lang w:val="es-ES"/>
        </w:rPr>
        <w:t xml:space="preserve"> 28</w:t>
      </w:r>
    </w:p>
    <w:p w14:paraId="1A8C499B" w14:textId="77777777" w:rsidR="007409E1" w:rsidRDefault="007409E1">
      <w:pPr>
        <w:pStyle w:val="MarginText"/>
        <w:tabs>
          <w:tab w:val="left" w:pos="1440"/>
        </w:tabs>
        <w:spacing w:after="0"/>
        <w:ind w:left="1440"/>
        <w:rPr>
          <w:lang w:val="es-ES"/>
        </w:rPr>
      </w:pPr>
      <w:r>
        <w:rPr>
          <w:lang w:val="es-ES"/>
        </w:rPr>
        <w:t>Edificio Asia</w:t>
      </w:r>
      <w:r w:rsidR="00356370">
        <w:rPr>
          <w:lang w:val="es-ES"/>
        </w:rPr>
        <w:t xml:space="preserve"> – 1st Floor</w:t>
      </w:r>
    </w:p>
    <w:p w14:paraId="12F06C58" w14:textId="77777777" w:rsidR="007409E1" w:rsidRDefault="007409E1">
      <w:pPr>
        <w:pStyle w:val="MarginText"/>
        <w:tabs>
          <w:tab w:val="left" w:pos="1440"/>
        </w:tabs>
        <w:spacing w:after="0"/>
        <w:ind w:left="1440"/>
        <w:rPr>
          <w:lang w:val="es-ES"/>
        </w:rPr>
      </w:pPr>
      <w:r>
        <w:rPr>
          <w:lang w:val="es-ES"/>
        </w:rPr>
        <w:t>Madrid 28050</w:t>
      </w:r>
    </w:p>
    <w:p w14:paraId="2C7925D1" w14:textId="77777777" w:rsidR="007409E1" w:rsidRDefault="007409E1">
      <w:pPr>
        <w:pStyle w:val="MarginText"/>
        <w:tabs>
          <w:tab w:val="left" w:pos="1440"/>
        </w:tabs>
        <w:ind w:left="1440"/>
      </w:pPr>
      <w:r>
        <w:t>Spain</w:t>
      </w:r>
    </w:p>
    <w:p w14:paraId="3EAC7F18" w14:textId="77777777" w:rsidR="007409E1" w:rsidRDefault="007409E1">
      <w:pPr>
        <w:pStyle w:val="MarginText"/>
        <w:tabs>
          <w:tab w:val="left" w:pos="1440"/>
        </w:tabs>
      </w:pPr>
      <w:r>
        <w:t>Tel:</w:t>
      </w:r>
      <w:r>
        <w:tab/>
        <w:t xml:space="preserve">+34 91 537 </w:t>
      </w:r>
      <w:r w:rsidR="00356370">
        <w:t>4305</w:t>
      </w:r>
    </w:p>
    <w:p w14:paraId="7A949016" w14:textId="77777777" w:rsidR="007409E1" w:rsidRDefault="007409E1">
      <w:pPr>
        <w:pStyle w:val="MarginText"/>
        <w:tabs>
          <w:tab w:val="left" w:pos="1440"/>
        </w:tabs>
      </w:pPr>
      <w:r>
        <w:t>Attention:</w:t>
      </w:r>
      <w:r>
        <w:tab/>
      </w:r>
      <w:r w:rsidR="00356370">
        <w:t>DCM Origination</w:t>
      </w:r>
    </w:p>
    <w:p w14:paraId="30688A10" w14:textId="77777777" w:rsidR="00356370" w:rsidRDefault="00356370" w:rsidP="00356370">
      <w:pPr>
        <w:pStyle w:val="MarginText"/>
        <w:tabs>
          <w:tab w:val="left" w:pos="1440"/>
        </w:tabs>
        <w:ind w:left="1440" w:hanging="1440"/>
        <w:jc w:val="left"/>
      </w:pPr>
      <w:r>
        <w:t>E-mail:</w:t>
      </w:r>
      <w:r>
        <w:tab/>
      </w:r>
      <w:hyperlink r:id="rId17" w:history="1">
        <w:r w:rsidRPr="008A73A4">
          <w:rPr>
            <w:rStyle w:val="Hyperlink"/>
          </w:rPr>
          <w:t>dcmcorps-europ.group@bbva.com</w:t>
        </w:r>
      </w:hyperlink>
      <w:r w:rsidRPr="00356370">
        <w:t>;</w:t>
      </w:r>
      <w:r>
        <w:t xml:space="preserve"> </w:t>
      </w:r>
      <w:hyperlink r:id="rId18" w:history="1">
        <w:r w:rsidRPr="008A73A4">
          <w:rPr>
            <w:rStyle w:val="Hyperlink"/>
          </w:rPr>
          <w:t>hugo.taguas@bbva.com</w:t>
        </w:r>
      </w:hyperlink>
      <w:r w:rsidRPr="00356370">
        <w:t>;</w:t>
      </w:r>
      <w:r>
        <w:t xml:space="preserve"> </w:t>
      </w:r>
    </w:p>
    <w:p w14:paraId="35855B35" w14:textId="77777777" w:rsidR="007409E1" w:rsidRDefault="007409E1">
      <w:pPr>
        <w:pStyle w:val="MarginText"/>
        <w:tabs>
          <w:tab w:val="left" w:pos="1440"/>
        </w:tabs>
      </w:pPr>
    </w:p>
    <w:p w14:paraId="5808E076" w14:textId="77777777" w:rsidR="007409E1" w:rsidRDefault="007409E1">
      <w:pPr>
        <w:pStyle w:val="MarginText"/>
        <w:tabs>
          <w:tab w:val="left" w:pos="1440"/>
        </w:tabs>
        <w:rPr>
          <w:b/>
          <w:lang w:val="es-ES"/>
        </w:rPr>
      </w:pPr>
      <w:r>
        <w:rPr>
          <w:b/>
          <w:lang w:val="es-ES"/>
        </w:rPr>
        <w:t>BANCO SANTANDER, S.A.</w:t>
      </w:r>
    </w:p>
    <w:p w14:paraId="6797F165" w14:textId="77777777" w:rsidR="007409E1" w:rsidRDefault="007409E1">
      <w:pPr>
        <w:pStyle w:val="MarginText"/>
        <w:tabs>
          <w:tab w:val="left" w:pos="1440"/>
        </w:tabs>
        <w:spacing w:after="0"/>
        <w:rPr>
          <w:lang w:val="es-ES"/>
        </w:rPr>
      </w:pPr>
      <w:r>
        <w:rPr>
          <w:lang w:val="es-ES"/>
        </w:rPr>
        <w:t>Address:</w:t>
      </w:r>
      <w:r>
        <w:rPr>
          <w:lang w:val="es-ES"/>
        </w:rPr>
        <w:tab/>
        <w:t>Banco Santander, S.A.</w:t>
      </w:r>
    </w:p>
    <w:p w14:paraId="4B14AA6C" w14:textId="77777777" w:rsidR="007409E1" w:rsidRDefault="004C5DCD">
      <w:pPr>
        <w:pStyle w:val="MarginText"/>
        <w:tabs>
          <w:tab w:val="left" w:pos="1440"/>
        </w:tabs>
        <w:spacing w:after="0"/>
        <w:ind w:left="1440"/>
        <w:rPr>
          <w:lang w:val="es-ES"/>
        </w:rPr>
      </w:pPr>
      <w:r>
        <w:rPr>
          <w:lang w:val="es-ES"/>
        </w:rPr>
        <w:t>Calle Juan Ignacio Luca de Tena, 11</w:t>
      </w:r>
    </w:p>
    <w:p w14:paraId="72DADF4D" w14:textId="77777777" w:rsidR="007409E1" w:rsidRDefault="007409E1">
      <w:pPr>
        <w:pStyle w:val="MarginText"/>
        <w:tabs>
          <w:tab w:val="left" w:pos="1440"/>
        </w:tabs>
        <w:spacing w:after="0"/>
        <w:ind w:left="1440"/>
        <w:rPr>
          <w:lang w:val="es-ES"/>
        </w:rPr>
      </w:pPr>
      <w:r>
        <w:rPr>
          <w:lang w:val="es-ES"/>
        </w:rPr>
        <w:t xml:space="preserve">Edificio </w:t>
      </w:r>
      <w:r w:rsidR="004C5DCD">
        <w:rPr>
          <w:lang w:val="es-ES"/>
        </w:rPr>
        <w:t>Magdalena</w:t>
      </w:r>
      <w:r>
        <w:rPr>
          <w:lang w:val="es-ES"/>
        </w:rPr>
        <w:t>- Planta 1</w:t>
      </w:r>
    </w:p>
    <w:p w14:paraId="51B586A8" w14:textId="77777777" w:rsidR="007409E1" w:rsidRDefault="007409E1">
      <w:pPr>
        <w:pStyle w:val="MarginText"/>
        <w:tabs>
          <w:tab w:val="left" w:pos="1440"/>
        </w:tabs>
        <w:spacing w:after="0"/>
        <w:ind w:left="1440"/>
      </w:pPr>
      <w:r>
        <w:t>280</w:t>
      </w:r>
      <w:r w:rsidR="004C5DCD">
        <w:t>27</w:t>
      </w:r>
      <w:r>
        <w:t xml:space="preserve"> Madrid</w:t>
      </w:r>
    </w:p>
    <w:p w14:paraId="3BFBB445" w14:textId="77777777" w:rsidR="007409E1" w:rsidRDefault="007409E1">
      <w:pPr>
        <w:pStyle w:val="MarginText"/>
        <w:ind w:left="1440"/>
      </w:pPr>
      <w:r>
        <w:t>Spain</w:t>
      </w:r>
    </w:p>
    <w:p w14:paraId="423FA1B8" w14:textId="77777777" w:rsidR="007409E1" w:rsidRDefault="007409E1">
      <w:pPr>
        <w:pStyle w:val="MarginText"/>
        <w:tabs>
          <w:tab w:val="left" w:pos="1440"/>
        </w:tabs>
      </w:pPr>
      <w:r>
        <w:t>Tel:</w:t>
      </w:r>
      <w:r>
        <w:tab/>
        <w:t>+34 91 257 22 48 / +34 91 257 21 44</w:t>
      </w:r>
    </w:p>
    <w:p w14:paraId="1E2BE3D7" w14:textId="77777777" w:rsidR="007409E1" w:rsidRDefault="007409E1">
      <w:pPr>
        <w:pStyle w:val="MarginText"/>
        <w:tabs>
          <w:tab w:val="left" w:pos="1440"/>
        </w:tabs>
      </w:pPr>
      <w:r>
        <w:t>Attention:</w:t>
      </w:r>
      <w:r>
        <w:tab/>
        <w:t>Head of Debt Capital Markets (Santander España)</w:t>
      </w:r>
    </w:p>
    <w:p w14:paraId="14D07A56" w14:textId="77777777" w:rsidR="007409E1" w:rsidRDefault="007409E1">
      <w:pPr>
        <w:pStyle w:val="MarginText"/>
        <w:tabs>
          <w:tab w:val="left" w:pos="1440"/>
        </w:tabs>
        <w:rPr>
          <w:lang w:val="es-ES"/>
        </w:rPr>
      </w:pPr>
      <w:r>
        <w:rPr>
          <w:lang w:val="es-ES"/>
        </w:rPr>
        <w:t>Email:</w:t>
      </w:r>
      <w:r>
        <w:rPr>
          <w:lang w:val="es-ES"/>
        </w:rPr>
        <w:tab/>
        <w:t>syndicate@santandergbm.com</w:t>
      </w:r>
    </w:p>
    <w:p w14:paraId="1CF1F6CF" w14:textId="77777777" w:rsidR="007409E1" w:rsidRDefault="007409E1">
      <w:pPr>
        <w:pStyle w:val="MarginText"/>
        <w:tabs>
          <w:tab w:val="left" w:pos="1440"/>
        </w:tabs>
        <w:rPr>
          <w:lang w:val="es-ES"/>
        </w:rPr>
      </w:pPr>
    </w:p>
    <w:p w14:paraId="09961435" w14:textId="77777777" w:rsidR="00913D58" w:rsidRPr="00913D58" w:rsidRDefault="00913D58" w:rsidP="00913D58">
      <w:pPr>
        <w:pStyle w:val="MarginText"/>
        <w:keepNext/>
        <w:rPr>
          <w:b/>
        </w:rPr>
      </w:pPr>
      <w:r w:rsidRPr="00913D58">
        <w:rPr>
          <w:b/>
        </w:rPr>
        <w:t>BARCLAYS BANK IRELAND PLC</w:t>
      </w:r>
    </w:p>
    <w:p w14:paraId="5D91E0C9" w14:textId="77777777" w:rsidR="00913D58" w:rsidRPr="00913D58" w:rsidRDefault="00913D58" w:rsidP="00913D58">
      <w:pPr>
        <w:pStyle w:val="MarginText"/>
        <w:tabs>
          <w:tab w:val="left" w:pos="1440"/>
        </w:tabs>
        <w:spacing w:after="0"/>
        <w:rPr>
          <w:bCs/>
        </w:rPr>
      </w:pPr>
      <w:r w:rsidRPr="00913D58">
        <w:rPr>
          <w:bCs/>
        </w:rPr>
        <w:t xml:space="preserve">Address: </w:t>
      </w:r>
      <w:r w:rsidRPr="00913D58">
        <w:rPr>
          <w:bCs/>
        </w:rPr>
        <w:tab/>
        <w:t>One Molesworth Street</w:t>
      </w:r>
    </w:p>
    <w:p w14:paraId="40696D50" w14:textId="77777777" w:rsidR="00913D58" w:rsidRPr="00913D58" w:rsidRDefault="00913D58" w:rsidP="00913D58">
      <w:pPr>
        <w:pStyle w:val="MarginText"/>
        <w:tabs>
          <w:tab w:val="left" w:pos="1440"/>
        </w:tabs>
        <w:spacing w:after="0"/>
        <w:rPr>
          <w:bCs/>
        </w:rPr>
      </w:pPr>
      <w:r w:rsidRPr="00913D58">
        <w:rPr>
          <w:bCs/>
        </w:rPr>
        <w:tab/>
        <w:t>Dublin 2</w:t>
      </w:r>
    </w:p>
    <w:p w14:paraId="27937E4A" w14:textId="77777777" w:rsidR="00913D58" w:rsidRPr="00913D58" w:rsidRDefault="00913D58" w:rsidP="00913D58">
      <w:pPr>
        <w:pStyle w:val="MarginText"/>
        <w:tabs>
          <w:tab w:val="left" w:pos="1440"/>
        </w:tabs>
        <w:spacing w:after="0"/>
        <w:rPr>
          <w:bCs/>
        </w:rPr>
      </w:pPr>
      <w:r w:rsidRPr="00913D58">
        <w:rPr>
          <w:bCs/>
        </w:rPr>
        <w:tab/>
        <w:t>D</w:t>
      </w:r>
      <w:r w:rsidR="00836FE6">
        <w:rPr>
          <w:bCs/>
        </w:rPr>
        <w:t>0</w:t>
      </w:r>
      <w:r w:rsidRPr="00913D58">
        <w:rPr>
          <w:bCs/>
        </w:rPr>
        <w:t>2RF29</w:t>
      </w:r>
    </w:p>
    <w:p w14:paraId="6060A9C2" w14:textId="77777777" w:rsidR="00913D58" w:rsidRPr="00913D58" w:rsidRDefault="00913D58" w:rsidP="00913D58">
      <w:pPr>
        <w:pStyle w:val="MarginText"/>
        <w:tabs>
          <w:tab w:val="left" w:pos="1440"/>
        </w:tabs>
        <w:spacing w:after="0"/>
        <w:rPr>
          <w:bCs/>
        </w:rPr>
      </w:pPr>
      <w:r w:rsidRPr="00913D58">
        <w:rPr>
          <w:bCs/>
        </w:rPr>
        <w:tab/>
        <w:t>Ireland</w:t>
      </w:r>
    </w:p>
    <w:p w14:paraId="775D5F40" w14:textId="77777777" w:rsidR="00913D58" w:rsidRPr="00913D58" w:rsidRDefault="00913D58" w:rsidP="00913D58">
      <w:pPr>
        <w:pStyle w:val="MarginText"/>
        <w:tabs>
          <w:tab w:val="left" w:pos="1440"/>
        </w:tabs>
        <w:spacing w:after="0"/>
        <w:rPr>
          <w:bCs/>
        </w:rPr>
      </w:pPr>
    </w:p>
    <w:p w14:paraId="541C0A0B" w14:textId="77777777" w:rsidR="00913D58" w:rsidRPr="00913D58" w:rsidRDefault="00913D58" w:rsidP="00913D58">
      <w:pPr>
        <w:pStyle w:val="MarginText"/>
        <w:keepNext/>
        <w:rPr>
          <w:bCs/>
        </w:rPr>
      </w:pPr>
      <w:r w:rsidRPr="00913D58">
        <w:rPr>
          <w:bCs/>
        </w:rPr>
        <w:t xml:space="preserve">Attention: </w:t>
      </w:r>
      <w:r w:rsidRPr="00913D58">
        <w:rPr>
          <w:bCs/>
        </w:rPr>
        <w:tab/>
        <w:t>BBI MTN Syndicate</w:t>
      </w:r>
    </w:p>
    <w:p w14:paraId="52BA2222" w14:textId="77777777" w:rsidR="00913D58" w:rsidRPr="00913D58" w:rsidRDefault="00913D58" w:rsidP="00913D58">
      <w:pPr>
        <w:pStyle w:val="MarginText"/>
        <w:keepNext/>
        <w:rPr>
          <w:bCs/>
        </w:rPr>
      </w:pPr>
      <w:r w:rsidRPr="00913D58">
        <w:rPr>
          <w:bCs/>
        </w:rPr>
        <w:t xml:space="preserve">Email: </w:t>
      </w:r>
      <w:r w:rsidRPr="00913D58">
        <w:rPr>
          <w:bCs/>
        </w:rPr>
        <w:tab/>
      </w:r>
      <w:r w:rsidRPr="00913D58">
        <w:rPr>
          <w:bCs/>
        </w:rPr>
        <w:tab/>
        <w:t>MTNSNSyndicateEMEA@barclays.com</w:t>
      </w:r>
    </w:p>
    <w:p w14:paraId="49BC5FE5" w14:textId="77777777" w:rsidR="00D3463C" w:rsidRDefault="00D3463C">
      <w:pPr>
        <w:pStyle w:val="MarginText"/>
        <w:keepNext/>
        <w:tabs>
          <w:tab w:val="left" w:pos="1440"/>
        </w:tabs>
        <w:rPr>
          <w:b/>
          <w:lang w:val="es-ES"/>
        </w:rPr>
      </w:pPr>
    </w:p>
    <w:p w14:paraId="5AB7C375" w14:textId="77777777" w:rsidR="007409E1" w:rsidRPr="0019392F" w:rsidRDefault="007409E1">
      <w:pPr>
        <w:pStyle w:val="MarginText"/>
        <w:keepNext/>
        <w:tabs>
          <w:tab w:val="left" w:pos="1440"/>
        </w:tabs>
        <w:rPr>
          <w:b/>
          <w:lang w:val="en-US"/>
        </w:rPr>
      </w:pPr>
      <w:r w:rsidRPr="0019392F">
        <w:rPr>
          <w:b/>
          <w:lang w:val="en-US"/>
        </w:rPr>
        <w:t>BNP PARIBAS</w:t>
      </w:r>
    </w:p>
    <w:p w14:paraId="56D25597" w14:textId="77777777" w:rsidR="0019392F" w:rsidRPr="0019392F" w:rsidRDefault="007409E1" w:rsidP="0019392F">
      <w:pPr>
        <w:pStyle w:val="MarginText"/>
        <w:tabs>
          <w:tab w:val="left" w:pos="1440"/>
        </w:tabs>
        <w:spacing w:after="0"/>
        <w:rPr>
          <w:bCs/>
        </w:rPr>
      </w:pPr>
      <w:r>
        <w:t>Address:</w:t>
      </w:r>
      <w:r>
        <w:tab/>
      </w:r>
      <w:r w:rsidR="0019392F" w:rsidRPr="0019392F">
        <w:rPr>
          <w:bCs/>
        </w:rPr>
        <w:t xml:space="preserve">16, boulevard des Italiens </w:t>
      </w:r>
    </w:p>
    <w:p w14:paraId="5E2A65E2" w14:textId="77777777" w:rsidR="0019392F" w:rsidRPr="0019392F" w:rsidRDefault="0019392F" w:rsidP="0019392F">
      <w:pPr>
        <w:pStyle w:val="MarginText"/>
        <w:tabs>
          <w:tab w:val="left" w:pos="1440"/>
        </w:tabs>
        <w:spacing w:after="0"/>
        <w:rPr>
          <w:bCs/>
        </w:rPr>
      </w:pPr>
      <w:r>
        <w:rPr>
          <w:bCs/>
        </w:rPr>
        <w:tab/>
      </w:r>
      <w:r w:rsidRPr="0019392F">
        <w:rPr>
          <w:bCs/>
        </w:rPr>
        <w:t xml:space="preserve">75009 Paris </w:t>
      </w:r>
    </w:p>
    <w:p w14:paraId="1B937BC0" w14:textId="77777777" w:rsidR="0019392F" w:rsidRDefault="0019392F" w:rsidP="0019392F">
      <w:pPr>
        <w:pStyle w:val="MarginText"/>
        <w:tabs>
          <w:tab w:val="left" w:pos="1440"/>
        </w:tabs>
        <w:spacing w:after="0"/>
        <w:rPr>
          <w:bCs/>
        </w:rPr>
      </w:pPr>
      <w:r>
        <w:rPr>
          <w:bCs/>
        </w:rPr>
        <w:tab/>
      </w:r>
      <w:r w:rsidRPr="0019392F">
        <w:rPr>
          <w:bCs/>
        </w:rPr>
        <w:t xml:space="preserve">France </w:t>
      </w:r>
    </w:p>
    <w:p w14:paraId="03FF36C4" w14:textId="77777777" w:rsidR="0019392F" w:rsidRDefault="0019392F" w:rsidP="0019392F">
      <w:pPr>
        <w:pStyle w:val="MarginText"/>
        <w:tabs>
          <w:tab w:val="left" w:pos="1440"/>
        </w:tabs>
        <w:spacing w:after="0"/>
        <w:rPr>
          <w:bCs/>
        </w:rPr>
      </w:pPr>
    </w:p>
    <w:p w14:paraId="70E4B1A6" w14:textId="77777777" w:rsidR="0019392F" w:rsidRPr="0019392F" w:rsidRDefault="0019392F" w:rsidP="0019392F">
      <w:pPr>
        <w:pStyle w:val="MarginText"/>
        <w:tabs>
          <w:tab w:val="left" w:pos="1440"/>
        </w:tabs>
        <w:rPr>
          <w:bCs/>
        </w:rPr>
      </w:pPr>
      <w:r w:rsidRPr="0019392F">
        <w:rPr>
          <w:bCs/>
        </w:rPr>
        <w:t xml:space="preserve">Email: </w:t>
      </w:r>
      <w:r>
        <w:rPr>
          <w:bCs/>
        </w:rPr>
        <w:tab/>
      </w:r>
      <w:r w:rsidRPr="0019392F">
        <w:rPr>
          <w:bCs/>
        </w:rPr>
        <w:t>emtn.programmes@bnpparibas.com</w:t>
      </w:r>
    </w:p>
    <w:p w14:paraId="10803334" w14:textId="77777777" w:rsidR="007409E1" w:rsidRDefault="007409E1">
      <w:pPr>
        <w:pStyle w:val="MarginText"/>
        <w:tabs>
          <w:tab w:val="left" w:pos="1440"/>
        </w:tabs>
      </w:pPr>
      <w:r>
        <w:t>Attention:</w:t>
      </w:r>
      <w:r>
        <w:tab/>
        <w:t>MTN Desk</w:t>
      </w:r>
    </w:p>
    <w:p w14:paraId="21391C26" w14:textId="77777777" w:rsidR="007409E1" w:rsidRDefault="007409E1">
      <w:pPr>
        <w:pStyle w:val="MarginText"/>
        <w:tabs>
          <w:tab w:val="left" w:pos="1440"/>
        </w:tabs>
      </w:pPr>
    </w:p>
    <w:p w14:paraId="26F99182" w14:textId="77777777" w:rsidR="007409E1" w:rsidRDefault="007409E1">
      <w:pPr>
        <w:pStyle w:val="MarginText"/>
        <w:keepNext/>
        <w:tabs>
          <w:tab w:val="left" w:pos="1440"/>
        </w:tabs>
        <w:rPr>
          <w:b/>
        </w:rPr>
      </w:pPr>
      <w:r>
        <w:rPr>
          <w:b/>
        </w:rPr>
        <w:t>CAIXABANK, S.A.</w:t>
      </w:r>
    </w:p>
    <w:p w14:paraId="4F4FE871" w14:textId="77777777" w:rsidR="007409E1" w:rsidRDefault="007409E1">
      <w:pPr>
        <w:pStyle w:val="MarginText"/>
        <w:tabs>
          <w:tab w:val="left" w:pos="1440"/>
        </w:tabs>
        <w:spacing w:after="0"/>
        <w:rPr>
          <w:lang w:val="es-ES"/>
        </w:rPr>
      </w:pPr>
      <w:r>
        <w:rPr>
          <w:lang w:val="es-ES"/>
        </w:rPr>
        <w:t>Address:</w:t>
      </w:r>
      <w:r>
        <w:rPr>
          <w:lang w:val="es-ES"/>
        </w:rPr>
        <w:tab/>
        <w:t>Calle Pintor Sorolla 2-4</w:t>
      </w:r>
    </w:p>
    <w:p w14:paraId="47950414" w14:textId="77777777" w:rsidR="007409E1" w:rsidRDefault="007409E1">
      <w:pPr>
        <w:pStyle w:val="MarginText"/>
        <w:tabs>
          <w:tab w:val="left" w:pos="1440"/>
        </w:tabs>
        <w:spacing w:after="0"/>
        <w:ind w:left="1440"/>
        <w:rPr>
          <w:lang w:val="es-ES"/>
        </w:rPr>
      </w:pPr>
      <w:r>
        <w:rPr>
          <w:lang w:val="es-ES"/>
        </w:rPr>
        <w:t>46002 Valencia</w:t>
      </w:r>
    </w:p>
    <w:p w14:paraId="3ACA429E" w14:textId="77777777" w:rsidR="007409E1" w:rsidRDefault="007409E1">
      <w:pPr>
        <w:pStyle w:val="MarginText"/>
        <w:tabs>
          <w:tab w:val="left" w:pos="1440"/>
        </w:tabs>
        <w:ind w:left="1440"/>
        <w:rPr>
          <w:lang w:val="es-ES"/>
        </w:rPr>
      </w:pPr>
      <w:r>
        <w:rPr>
          <w:lang w:val="es-ES"/>
        </w:rPr>
        <w:t>Spain</w:t>
      </w:r>
    </w:p>
    <w:p w14:paraId="7C6A6895" w14:textId="77777777" w:rsidR="007409E1" w:rsidRDefault="007409E1">
      <w:pPr>
        <w:pStyle w:val="MarginText"/>
        <w:tabs>
          <w:tab w:val="left" w:pos="1440"/>
        </w:tabs>
        <w:rPr>
          <w:lang w:val="es-ES"/>
        </w:rPr>
      </w:pPr>
      <w:r>
        <w:rPr>
          <w:lang w:val="es-ES"/>
        </w:rPr>
        <w:t>Tel:</w:t>
      </w:r>
      <w:r>
        <w:rPr>
          <w:lang w:val="es-ES"/>
        </w:rPr>
        <w:tab/>
      </w:r>
      <w:r w:rsidR="00836FE6" w:rsidRPr="00836FE6">
        <w:rPr>
          <w:lang w:val="es-ES"/>
        </w:rPr>
        <w:t>+34 93 404 80 53/ 34 91 700 56 10</w:t>
      </w:r>
    </w:p>
    <w:p w14:paraId="193B1D62" w14:textId="77777777" w:rsidR="007409E1" w:rsidRDefault="007409E1">
      <w:pPr>
        <w:pStyle w:val="MarginText"/>
        <w:tabs>
          <w:tab w:val="left" w:pos="1440"/>
        </w:tabs>
        <w:rPr>
          <w:lang w:val="es-ES"/>
        </w:rPr>
      </w:pPr>
      <w:r>
        <w:rPr>
          <w:lang w:val="es-ES"/>
        </w:rPr>
        <w:t>Attention:</w:t>
      </w:r>
      <w:r>
        <w:rPr>
          <w:lang w:val="es-ES"/>
        </w:rPr>
        <w:tab/>
      </w:r>
      <w:r w:rsidR="00836FE6" w:rsidRPr="00836FE6">
        <w:rPr>
          <w:lang w:val="es-ES"/>
        </w:rPr>
        <w:t>María José Teva, Sonia Lozano, Antonio Sanz-Pastor</w:t>
      </w:r>
    </w:p>
    <w:p w14:paraId="0BE2F8D2" w14:textId="77777777" w:rsidR="007409E1" w:rsidRDefault="007409E1">
      <w:pPr>
        <w:pStyle w:val="MarginText"/>
        <w:tabs>
          <w:tab w:val="left" w:pos="1440"/>
        </w:tabs>
      </w:pPr>
      <w:r>
        <w:t xml:space="preserve">Email: </w:t>
      </w:r>
      <w:r>
        <w:tab/>
      </w:r>
      <w:r w:rsidR="00836FE6" w:rsidRPr="00836FE6">
        <w:t>lst.sot.rf@caixabank.com / lst.originacion.rf@caixabank.com</w:t>
      </w:r>
    </w:p>
    <w:p w14:paraId="1D7036F4" w14:textId="77777777" w:rsidR="007409E1" w:rsidRDefault="007409E1">
      <w:pPr>
        <w:pStyle w:val="MarginText"/>
        <w:keepNext/>
        <w:tabs>
          <w:tab w:val="left" w:pos="1440"/>
        </w:tabs>
        <w:rPr>
          <w:b/>
        </w:rPr>
      </w:pPr>
      <w:r>
        <w:rPr>
          <w:b/>
        </w:rPr>
        <w:t>CRÉDIT AGRICOLE CORPORATE AND INVESTMENT BANK</w:t>
      </w:r>
    </w:p>
    <w:p w14:paraId="74F8FDFD" w14:textId="77777777" w:rsidR="007409E1" w:rsidRDefault="007409E1">
      <w:pPr>
        <w:pStyle w:val="MarginText"/>
        <w:tabs>
          <w:tab w:val="left" w:pos="1440"/>
        </w:tabs>
        <w:spacing w:after="0"/>
      </w:pPr>
      <w:r>
        <w:t>Address:</w:t>
      </w:r>
      <w:r>
        <w:tab/>
        <w:t>12 Place des Etats-Unis</w:t>
      </w:r>
    </w:p>
    <w:p w14:paraId="0F34BA77" w14:textId="77777777" w:rsidR="007409E1" w:rsidRDefault="007409E1">
      <w:pPr>
        <w:pStyle w:val="MarginText"/>
        <w:tabs>
          <w:tab w:val="left" w:pos="1440"/>
        </w:tabs>
        <w:spacing w:after="0"/>
      </w:pPr>
      <w:r>
        <w:tab/>
        <w:t>CS 70052</w:t>
      </w:r>
    </w:p>
    <w:p w14:paraId="74E21BE7" w14:textId="77777777" w:rsidR="007409E1" w:rsidRDefault="007409E1">
      <w:pPr>
        <w:pStyle w:val="MarginText"/>
        <w:tabs>
          <w:tab w:val="left" w:pos="1440"/>
        </w:tabs>
        <w:spacing w:after="0"/>
      </w:pPr>
      <w:r>
        <w:tab/>
        <w:t>92547 Montrouge Cedex</w:t>
      </w:r>
      <w:r>
        <w:br/>
      </w:r>
      <w:r>
        <w:tab/>
        <w:t>France</w:t>
      </w:r>
    </w:p>
    <w:p w14:paraId="2155615C" w14:textId="77777777" w:rsidR="00FB66DC" w:rsidRDefault="00FB66DC">
      <w:pPr>
        <w:pStyle w:val="MarginText"/>
        <w:tabs>
          <w:tab w:val="left" w:pos="1440"/>
        </w:tabs>
        <w:spacing w:after="0"/>
        <w:rPr>
          <w:lang w:val="en-US"/>
        </w:rPr>
      </w:pPr>
    </w:p>
    <w:p w14:paraId="6384C463" w14:textId="77777777" w:rsidR="007409E1" w:rsidRDefault="007409E1">
      <w:pPr>
        <w:pStyle w:val="MarginText"/>
        <w:tabs>
          <w:tab w:val="left" w:pos="1440"/>
        </w:tabs>
        <w:rPr>
          <w:lang w:val="en-US"/>
        </w:rPr>
      </w:pPr>
      <w:r>
        <w:rPr>
          <w:lang w:val="en-US"/>
        </w:rPr>
        <w:t>Tel:</w:t>
      </w:r>
      <w:r>
        <w:rPr>
          <w:lang w:val="en-US"/>
        </w:rPr>
        <w:tab/>
        <w:t>+33 1 41 89 67 87</w:t>
      </w:r>
    </w:p>
    <w:p w14:paraId="776EEC1E" w14:textId="77777777" w:rsidR="007409E1" w:rsidRDefault="007409E1">
      <w:pPr>
        <w:pStyle w:val="MarginText"/>
        <w:tabs>
          <w:tab w:val="left" w:pos="1440"/>
        </w:tabs>
        <w:rPr>
          <w:lang w:val="en-US"/>
        </w:rPr>
      </w:pPr>
      <w:r>
        <w:rPr>
          <w:lang w:val="en-US"/>
        </w:rPr>
        <w:t>Email:</w:t>
      </w:r>
      <w:r>
        <w:rPr>
          <w:lang w:val="en-US"/>
        </w:rPr>
        <w:tab/>
        <w:t>dcm-legal@ca-cib.com</w:t>
      </w:r>
    </w:p>
    <w:p w14:paraId="75653926" w14:textId="77777777" w:rsidR="007409E1" w:rsidRDefault="007409E1">
      <w:pPr>
        <w:pStyle w:val="MarginText"/>
        <w:tabs>
          <w:tab w:val="left" w:pos="1440"/>
        </w:tabs>
      </w:pPr>
      <w:r>
        <w:t>Attention:</w:t>
      </w:r>
      <w:r>
        <w:tab/>
        <w:t>DCM Legal</w:t>
      </w:r>
    </w:p>
    <w:p w14:paraId="474E698E" w14:textId="77777777" w:rsidR="007409E1" w:rsidRDefault="007409E1">
      <w:pPr>
        <w:pStyle w:val="MarginText"/>
        <w:tabs>
          <w:tab w:val="left" w:pos="1440"/>
        </w:tabs>
      </w:pPr>
    </w:p>
    <w:p w14:paraId="26344514" w14:textId="77777777" w:rsidR="00C905B0" w:rsidRDefault="00C905B0" w:rsidP="00766337">
      <w:pPr>
        <w:pStyle w:val="MarginText"/>
        <w:tabs>
          <w:tab w:val="left" w:pos="1440"/>
        </w:tabs>
        <w:rPr>
          <w:b/>
          <w:bCs/>
          <w:lang w:val="en-US"/>
        </w:rPr>
      </w:pPr>
    </w:p>
    <w:p w14:paraId="3E4AD799" w14:textId="77777777" w:rsidR="00766337" w:rsidRPr="00160EE0" w:rsidRDefault="00766337" w:rsidP="00766337">
      <w:pPr>
        <w:pStyle w:val="MarginText"/>
        <w:tabs>
          <w:tab w:val="left" w:pos="1440"/>
        </w:tabs>
        <w:rPr>
          <w:lang w:val="en-US"/>
        </w:rPr>
      </w:pPr>
      <w:r w:rsidRPr="00160EE0">
        <w:rPr>
          <w:b/>
          <w:bCs/>
          <w:lang w:val="en-US"/>
        </w:rPr>
        <w:t xml:space="preserve">CREDIT SUISSE </w:t>
      </w:r>
      <w:r w:rsidR="00160EE0" w:rsidRPr="00160EE0">
        <w:rPr>
          <w:b/>
          <w:bCs/>
          <w:lang w:val="en-US"/>
        </w:rPr>
        <w:t>BANK (EUROPE),</w:t>
      </w:r>
      <w:r w:rsidRPr="00160EE0">
        <w:rPr>
          <w:b/>
          <w:bCs/>
          <w:lang w:val="en-US"/>
        </w:rPr>
        <w:t xml:space="preserve"> S.A</w:t>
      </w:r>
      <w:r w:rsidRPr="00160EE0">
        <w:rPr>
          <w:lang w:val="en-US"/>
        </w:rPr>
        <w:t>.</w:t>
      </w:r>
    </w:p>
    <w:p w14:paraId="583DDF6C" w14:textId="77777777" w:rsidR="00766337" w:rsidRPr="00A33E31" w:rsidRDefault="00A33E31" w:rsidP="00A33E31">
      <w:pPr>
        <w:pStyle w:val="MarginText"/>
        <w:tabs>
          <w:tab w:val="left" w:pos="1440"/>
        </w:tabs>
        <w:spacing w:after="0"/>
      </w:pPr>
      <w:r>
        <w:rPr>
          <w:lang w:val="es-ES"/>
        </w:rPr>
        <w:t>Address:</w:t>
      </w:r>
      <w:r>
        <w:rPr>
          <w:lang w:val="es-ES"/>
        </w:rPr>
        <w:tab/>
      </w:r>
      <w:r w:rsidR="00766337" w:rsidRPr="00A33E31">
        <w:t>Calle de Ayala, 42</w:t>
      </w:r>
    </w:p>
    <w:p w14:paraId="58B12014" w14:textId="77777777" w:rsidR="00766337" w:rsidRPr="00A33E31" w:rsidRDefault="00766337" w:rsidP="00A33E31">
      <w:pPr>
        <w:pStyle w:val="MarginText"/>
        <w:tabs>
          <w:tab w:val="left" w:pos="1440"/>
        </w:tabs>
        <w:spacing w:after="0"/>
      </w:pPr>
      <w:r w:rsidRPr="00A33E31">
        <w:t xml:space="preserve">                          28001 Madrid</w:t>
      </w:r>
    </w:p>
    <w:p w14:paraId="1E28840C" w14:textId="77777777" w:rsidR="00766337" w:rsidRDefault="00766337" w:rsidP="00A33E31">
      <w:pPr>
        <w:pStyle w:val="MarginText"/>
        <w:tabs>
          <w:tab w:val="left" w:pos="1440"/>
        </w:tabs>
        <w:spacing w:after="0"/>
      </w:pPr>
      <w:r w:rsidRPr="00A33E31">
        <w:t xml:space="preserve">                          Spain</w:t>
      </w:r>
    </w:p>
    <w:p w14:paraId="135E7F9A" w14:textId="77777777" w:rsidR="00A33E31" w:rsidRPr="00766337" w:rsidRDefault="00A33E31" w:rsidP="00A33E31">
      <w:pPr>
        <w:pStyle w:val="MarginText"/>
        <w:tabs>
          <w:tab w:val="left" w:pos="1440"/>
        </w:tabs>
        <w:spacing w:after="0"/>
        <w:rPr>
          <w:lang w:val="es-ES"/>
        </w:rPr>
      </w:pPr>
    </w:p>
    <w:p w14:paraId="2B51F61D" w14:textId="77777777" w:rsidR="00766337" w:rsidRDefault="00766337" w:rsidP="00766337">
      <w:pPr>
        <w:pStyle w:val="MarginText"/>
        <w:tabs>
          <w:tab w:val="left" w:pos="1440"/>
        </w:tabs>
      </w:pPr>
      <w:r>
        <w:t>Email:                tmg.documentation@credit-suisse.com</w:t>
      </w:r>
    </w:p>
    <w:p w14:paraId="025B6EBC" w14:textId="77777777" w:rsidR="00361A0E" w:rsidRDefault="00766337" w:rsidP="00766337">
      <w:pPr>
        <w:pStyle w:val="MarginText"/>
        <w:tabs>
          <w:tab w:val="left" w:pos="1440"/>
        </w:tabs>
      </w:pPr>
      <w:r>
        <w:t>Attention:           DCM Transaction Management</w:t>
      </w:r>
    </w:p>
    <w:p w14:paraId="08B3DE9E" w14:textId="77777777" w:rsidR="00FB66DC" w:rsidRDefault="00FB66DC">
      <w:pPr>
        <w:pStyle w:val="MarginText"/>
        <w:tabs>
          <w:tab w:val="left" w:pos="1440"/>
        </w:tabs>
        <w:spacing w:after="0"/>
        <w:rPr>
          <w:b/>
        </w:rPr>
      </w:pPr>
      <w:r w:rsidRPr="00FB66DC">
        <w:rPr>
          <w:b/>
        </w:rPr>
        <w:t xml:space="preserve">DEUTSCHE BANK AKTIENGESELLSCHAFT </w:t>
      </w:r>
    </w:p>
    <w:p w14:paraId="77700F57" w14:textId="77777777" w:rsidR="00FB66DC" w:rsidRDefault="00FB66DC">
      <w:pPr>
        <w:pStyle w:val="MarginText"/>
        <w:tabs>
          <w:tab w:val="left" w:pos="1440"/>
        </w:tabs>
        <w:spacing w:after="0"/>
        <w:rPr>
          <w:b/>
        </w:rPr>
      </w:pPr>
    </w:p>
    <w:p w14:paraId="2109796E" w14:textId="77777777" w:rsidR="00FB66DC" w:rsidRPr="00FB66DC" w:rsidRDefault="007409E1" w:rsidP="00FB66DC">
      <w:pPr>
        <w:pStyle w:val="MarginText"/>
        <w:tabs>
          <w:tab w:val="left" w:pos="1440"/>
        </w:tabs>
        <w:spacing w:after="0"/>
        <w:rPr>
          <w:lang w:val="es-ES"/>
        </w:rPr>
      </w:pPr>
      <w:r>
        <w:t>Address:</w:t>
      </w:r>
      <w:r>
        <w:tab/>
      </w:r>
      <w:r w:rsidR="00FB66DC" w:rsidRPr="00FB66DC">
        <w:rPr>
          <w:lang w:val="es-ES"/>
        </w:rPr>
        <w:t>Mainzer Landstr. 11-17</w:t>
      </w:r>
    </w:p>
    <w:p w14:paraId="03842CD5" w14:textId="77777777" w:rsidR="00FB66DC" w:rsidRPr="00FB66DC" w:rsidRDefault="00FB66DC" w:rsidP="00FB66DC">
      <w:pPr>
        <w:pStyle w:val="MarginText"/>
        <w:tabs>
          <w:tab w:val="left" w:pos="1440"/>
        </w:tabs>
        <w:spacing w:after="0"/>
        <w:rPr>
          <w:lang w:val="es-ES"/>
        </w:rPr>
      </w:pPr>
      <w:r w:rsidRPr="00FB66DC">
        <w:rPr>
          <w:lang w:val="es-ES"/>
        </w:rPr>
        <w:tab/>
        <w:t>60329 Frankfurt am Main</w:t>
      </w:r>
    </w:p>
    <w:p w14:paraId="00B89FE1" w14:textId="77777777" w:rsidR="007409E1" w:rsidRDefault="00FB66DC" w:rsidP="00FB66DC">
      <w:pPr>
        <w:pStyle w:val="MarginText"/>
        <w:tabs>
          <w:tab w:val="left" w:pos="1440"/>
        </w:tabs>
        <w:spacing w:after="0"/>
      </w:pPr>
      <w:r w:rsidRPr="00FB66DC">
        <w:rPr>
          <w:lang w:val="es-ES"/>
        </w:rPr>
        <w:tab/>
        <w:t>Germany</w:t>
      </w:r>
    </w:p>
    <w:p w14:paraId="45DA2C91" w14:textId="77777777" w:rsidR="00FB66DC" w:rsidRDefault="00FB66DC" w:rsidP="00FB66DC">
      <w:pPr>
        <w:pStyle w:val="MarginText"/>
        <w:tabs>
          <w:tab w:val="left" w:pos="1440"/>
        </w:tabs>
        <w:spacing w:after="0"/>
      </w:pPr>
    </w:p>
    <w:p w14:paraId="5DEC887F" w14:textId="77777777" w:rsidR="00FB66DC" w:rsidRDefault="00FB66DC" w:rsidP="00FB66DC">
      <w:pPr>
        <w:pStyle w:val="MarginText"/>
        <w:tabs>
          <w:tab w:val="left" w:pos="1440"/>
        </w:tabs>
      </w:pPr>
      <w:r>
        <w:t xml:space="preserve">Tel:        </w:t>
      </w:r>
      <w:r w:rsidR="002547EB">
        <w:tab/>
      </w:r>
      <w:r>
        <w:t xml:space="preserve"> +49(69)910-30725</w:t>
      </w:r>
    </w:p>
    <w:p w14:paraId="563D62ED" w14:textId="77777777" w:rsidR="00FB66DC" w:rsidRDefault="00FB66DC" w:rsidP="00FB66DC">
      <w:pPr>
        <w:pStyle w:val="MarginText"/>
        <w:tabs>
          <w:tab w:val="left" w:pos="1440"/>
        </w:tabs>
      </w:pPr>
      <w:r>
        <w:t>Fax:                   +49(69)910-34758</w:t>
      </w:r>
    </w:p>
    <w:p w14:paraId="0C09026E" w14:textId="77777777" w:rsidR="00FB66DC" w:rsidRDefault="00FB66DC" w:rsidP="00FB66DC">
      <w:pPr>
        <w:pStyle w:val="MarginText"/>
        <w:tabs>
          <w:tab w:val="left" w:pos="1440"/>
        </w:tabs>
      </w:pPr>
      <w:r>
        <w:t>Email:               grs.fft-admin@db.com</w:t>
      </w:r>
    </w:p>
    <w:p w14:paraId="50AEF1C1" w14:textId="77777777" w:rsidR="00FB66DC" w:rsidRDefault="00FB66DC" w:rsidP="00FB66DC">
      <w:pPr>
        <w:pStyle w:val="MarginText"/>
        <w:tabs>
          <w:tab w:val="left" w:pos="1440"/>
        </w:tabs>
        <w:spacing w:after="0"/>
      </w:pPr>
      <w:r>
        <w:t>Attention:           DCM Debt Syndicate</w:t>
      </w:r>
    </w:p>
    <w:p w14:paraId="627D5101" w14:textId="77777777" w:rsidR="007409E1" w:rsidRDefault="007409E1">
      <w:pPr>
        <w:pStyle w:val="MarginText"/>
        <w:tabs>
          <w:tab w:val="left" w:pos="1440"/>
        </w:tabs>
      </w:pPr>
    </w:p>
    <w:p w14:paraId="7C996FAC" w14:textId="77777777" w:rsidR="00361A0E" w:rsidRDefault="00361A0E">
      <w:pPr>
        <w:pStyle w:val="MarginText"/>
        <w:keepNext/>
        <w:tabs>
          <w:tab w:val="left" w:pos="1440"/>
        </w:tabs>
        <w:rPr>
          <w:b/>
        </w:rPr>
      </w:pPr>
      <w:bookmarkStart w:id="28" w:name="_Hlk128136367"/>
      <w:r>
        <w:rPr>
          <w:b/>
        </w:rPr>
        <w:t xml:space="preserve">HSBC CONTINENTAL EUROPE </w:t>
      </w:r>
    </w:p>
    <w:p w14:paraId="255E114C" w14:textId="77777777" w:rsidR="007409E1" w:rsidRDefault="007409E1">
      <w:pPr>
        <w:pStyle w:val="MarginText"/>
        <w:tabs>
          <w:tab w:val="left" w:pos="1440"/>
        </w:tabs>
        <w:spacing w:after="0"/>
      </w:pPr>
      <w:r>
        <w:t>Address:</w:t>
      </w:r>
      <w:r>
        <w:tab/>
      </w:r>
      <w:r w:rsidR="00793A81">
        <w:t>38 Avenue Kléber</w:t>
      </w:r>
    </w:p>
    <w:p w14:paraId="24CA552C" w14:textId="77777777" w:rsidR="00793A81" w:rsidRDefault="00793A81">
      <w:pPr>
        <w:pStyle w:val="MarginText"/>
        <w:tabs>
          <w:tab w:val="left" w:pos="1440"/>
        </w:tabs>
        <w:spacing w:after="0"/>
      </w:pPr>
      <w:r>
        <w:tab/>
        <w:t>75116 Paris</w:t>
      </w:r>
    </w:p>
    <w:p w14:paraId="0132342F" w14:textId="77777777" w:rsidR="007409E1" w:rsidRDefault="00793A81" w:rsidP="00793A81">
      <w:pPr>
        <w:pStyle w:val="MarginText"/>
        <w:tabs>
          <w:tab w:val="left" w:pos="1440"/>
        </w:tabs>
        <w:spacing w:after="0"/>
        <w:ind w:left="1440"/>
      </w:pPr>
      <w:r>
        <w:t>France</w:t>
      </w:r>
    </w:p>
    <w:p w14:paraId="7E088F37" w14:textId="77777777" w:rsidR="00793A81" w:rsidRDefault="00793A81" w:rsidP="00793A81">
      <w:pPr>
        <w:pStyle w:val="MarginText"/>
        <w:tabs>
          <w:tab w:val="left" w:pos="1440"/>
        </w:tabs>
        <w:spacing w:after="0"/>
        <w:ind w:left="1440"/>
      </w:pPr>
    </w:p>
    <w:p w14:paraId="296B2E43" w14:textId="77777777" w:rsidR="007409E1" w:rsidRDefault="007409E1">
      <w:pPr>
        <w:pStyle w:val="MarginText"/>
        <w:tabs>
          <w:tab w:val="left" w:pos="1440"/>
        </w:tabs>
      </w:pPr>
      <w:r>
        <w:t>Tel:</w:t>
      </w:r>
      <w:r>
        <w:tab/>
      </w:r>
      <w:r w:rsidR="00793A81" w:rsidRPr="00793A81">
        <w:t>+33 1 40 70 70 40</w:t>
      </w:r>
    </w:p>
    <w:p w14:paraId="0FDA9A55" w14:textId="77777777" w:rsidR="007409E1" w:rsidRDefault="007409E1">
      <w:pPr>
        <w:pStyle w:val="MarginText"/>
        <w:tabs>
          <w:tab w:val="left" w:pos="1440"/>
        </w:tabs>
      </w:pPr>
      <w:r>
        <w:t>Email:</w:t>
      </w:r>
      <w:r>
        <w:tab/>
        <w:t>transaction.management@hsbcib.com</w:t>
      </w:r>
    </w:p>
    <w:p w14:paraId="505F6820" w14:textId="77777777" w:rsidR="007409E1" w:rsidRDefault="007409E1">
      <w:pPr>
        <w:pStyle w:val="MarginText"/>
        <w:tabs>
          <w:tab w:val="left" w:pos="1440"/>
        </w:tabs>
      </w:pPr>
      <w:r>
        <w:t>Attention:</w:t>
      </w:r>
      <w:r>
        <w:tab/>
      </w:r>
      <w:r w:rsidR="00793A81" w:rsidRPr="00793A81">
        <w:t>DAJ Global Banking</w:t>
      </w:r>
    </w:p>
    <w:bookmarkEnd w:id="28"/>
    <w:p w14:paraId="772A64C5" w14:textId="77777777" w:rsidR="007409E1" w:rsidRDefault="007409E1">
      <w:pPr>
        <w:pStyle w:val="MarginText"/>
        <w:tabs>
          <w:tab w:val="left" w:pos="1440"/>
        </w:tabs>
      </w:pPr>
    </w:p>
    <w:p w14:paraId="3068CEE8" w14:textId="77777777" w:rsidR="007409E1" w:rsidRDefault="007409E1">
      <w:pPr>
        <w:pStyle w:val="MarginText"/>
        <w:keepNext/>
        <w:tabs>
          <w:tab w:val="left" w:pos="1440"/>
        </w:tabs>
        <w:rPr>
          <w:b/>
        </w:rPr>
      </w:pPr>
      <w:r>
        <w:rPr>
          <w:b/>
        </w:rPr>
        <w:t>SOCIÉTÉ GÉNÉRALE</w:t>
      </w:r>
    </w:p>
    <w:p w14:paraId="3FD65F24" w14:textId="77777777" w:rsidR="00B44E16" w:rsidRDefault="007409E1" w:rsidP="00B44E16">
      <w:pPr>
        <w:pStyle w:val="MarginText"/>
        <w:tabs>
          <w:tab w:val="left" w:pos="1440"/>
        </w:tabs>
        <w:spacing w:after="0"/>
      </w:pPr>
      <w:r>
        <w:t>Address:</w:t>
      </w:r>
      <w:r>
        <w:tab/>
      </w:r>
      <w:r w:rsidR="00B44E16">
        <w:t>Immeuble Basalte</w:t>
      </w:r>
    </w:p>
    <w:p w14:paraId="1E0CBF26" w14:textId="77777777" w:rsidR="00B44E16" w:rsidRDefault="00B44E16" w:rsidP="00B44E16">
      <w:pPr>
        <w:pStyle w:val="MarginText"/>
        <w:tabs>
          <w:tab w:val="left" w:pos="1440"/>
        </w:tabs>
        <w:spacing w:after="0"/>
      </w:pPr>
      <w:r>
        <w:tab/>
        <w:t>17 Cours Valmy</w:t>
      </w:r>
    </w:p>
    <w:p w14:paraId="6A0DCAD3" w14:textId="77777777" w:rsidR="0012079F" w:rsidRDefault="0012079F" w:rsidP="00B44E16">
      <w:pPr>
        <w:pStyle w:val="MarginText"/>
        <w:tabs>
          <w:tab w:val="left" w:pos="1440"/>
        </w:tabs>
        <w:spacing w:after="0"/>
      </w:pPr>
      <w:r>
        <w:tab/>
      </w:r>
      <w:r w:rsidRPr="0012079F">
        <w:t>CS 50318</w:t>
      </w:r>
    </w:p>
    <w:p w14:paraId="2E2AFF6F" w14:textId="77777777" w:rsidR="00B44E16" w:rsidRDefault="00B44E16" w:rsidP="00B44E16">
      <w:pPr>
        <w:pStyle w:val="MarginText"/>
        <w:tabs>
          <w:tab w:val="left" w:pos="1440"/>
        </w:tabs>
        <w:spacing w:after="0"/>
      </w:pPr>
      <w:r>
        <w:tab/>
        <w:t>9297</w:t>
      </w:r>
      <w:r w:rsidR="0012079F">
        <w:t>2</w:t>
      </w:r>
      <w:r>
        <w:t xml:space="preserve"> Paris La Défense Cedex</w:t>
      </w:r>
    </w:p>
    <w:p w14:paraId="429605B0" w14:textId="77777777" w:rsidR="00B44E16" w:rsidRDefault="00B44E16" w:rsidP="00B44E16">
      <w:pPr>
        <w:pStyle w:val="MarginText"/>
        <w:tabs>
          <w:tab w:val="left" w:pos="1440"/>
        </w:tabs>
        <w:spacing w:after="0"/>
      </w:pPr>
      <w:r>
        <w:tab/>
        <w:t>France</w:t>
      </w:r>
    </w:p>
    <w:p w14:paraId="10650BE7" w14:textId="77777777" w:rsidR="00B44E16" w:rsidRDefault="00B44E16" w:rsidP="00B44E16">
      <w:pPr>
        <w:pStyle w:val="MarginText"/>
        <w:tabs>
          <w:tab w:val="left" w:pos="1440"/>
        </w:tabs>
        <w:spacing w:after="0"/>
      </w:pPr>
    </w:p>
    <w:p w14:paraId="0F866407" w14:textId="77777777" w:rsidR="007409E1" w:rsidRDefault="007409E1">
      <w:pPr>
        <w:pStyle w:val="MarginText"/>
        <w:tabs>
          <w:tab w:val="left" w:pos="1440"/>
        </w:tabs>
      </w:pPr>
      <w:r>
        <w:t>Tel:</w:t>
      </w:r>
      <w:r>
        <w:tab/>
      </w:r>
      <w:r w:rsidR="00B44E16" w:rsidRPr="00B44E16">
        <w:t>+33 (0)1 42 13 32 16</w:t>
      </w:r>
    </w:p>
    <w:p w14:paraId="31B8227B" w14:textId="77777777" w:rsidR="007409E1" w:rsidRDefault="007409E1">
      <w:pPr>
        <w:pStyle w:val="MarginText"/>
        <w:tabs>
          <w:tab w:val="left" w:pos="1440"/>
        </w:tabs>
      </w:pPr>
      <w:r>
        <w:t>Email:</w:t>
      </w:r>
      <w:r>
        <w:tab/>
      </w:r>
      <w:r w:rsidR="00B44E16" w:rsidRPr="00B44E16">
        <w:t>eur-glba-syn-cap@sgcib.com</w:t>
      </w:r>
    </w:p>
    <w:p w14:paraId="000F9C88" w14:textId="77777777" w:rsidR="007409E1" w:rsidRDefault="007409E1">
      <w:pPr>
        <w:pStyle w:val="MarginText"/>
        <w:tabs>
          <w:tab w:val="left" w:pos="1440"/>
        </w:tabs>
      </w:pPr>
      <w:r>
        <w:t>Attention:</w:t>
      </w:r>
      <w:r>
        <w:tab/>
      </w:r>
      <w:r w:rsidR="00B44E16" w:rsidRPr="00B44E16">
        <w:t>Syndicate Desk GLBA/SYN/CAP/BND</w:t>
      </w:r>
    </w:p>
    <w:p w14:paraId="71F4CAB2" w14:textId="77777777" w:rsidR="00B44E16" w:rsidRPr="00E44220" w:rsidRDefault="00B44E16" w:rsidP="0012079F">
      <w:pPr>
        <w:pStyle w:val="MarginText"/>
        <w:tabs>
          <w:tab w:val="left" w:pos="1440"/>
        </w:tabs>
        <w:rPr>
          <w:lang w:val="en-US"/>
        </w:rPr>
      </w:pPr>
    </w:p>
    <w:p w14:paraId="5710FED5" w14:textId="77777777" w:rsidR="007409E1" w:rsidRDefault="007409E1">
      <w:pPr>
        <w:pStyle w:val="MarginText"/>
        <w:keepNext/>
        <w:tabs>
          <w:tab w:val="left" w:pos="1440"/>
        </w:tabs>
        <w:rPr>
          <w:b/>
        </w:rPr>
      </w:pPr>
      <w:r>
        <w:rPr>
          <w:b/>
        </w:rPr>
        <w:t>THE FISCAL AGENT</w:t>
      </w:r>
    </w:p>
    <w:p w14:paraId="420D15B5" w14:textId="77777777" w:rsidR="007409E1" w:rsidRDefault="007409E1">
      <w:pPr>
        <w:pStyle w:val="MarginText"/>
        <w:keepNext/>
        <w:tabs>
          <w:tab w:val="left" w:pos="1440"/>
        </w:tabs>
        <w:rPr>
          <w:b/>
        </w:rPr>
      </w:pPr>
      <w:r>
        <w:rPr>
          <w:b/>
        </w:rPr>
        <w:t>BNP PARIBAS, LUXEMBOURG BRANCH</w:t>
      </w:r>
    </w:p>
    <w:p w14:paraId="0B06A2EA" w14:textId="77777777" w:rsidR="007409E1" w:rsidRDefault="007409E1">
      <w:pPr>
        <w:pStyle w:val="MarginText"/>
        <w:tabs>
          <w:tab w:val="left" w:pos="1440"/>
        </w:tabs>
      </w:pPr>
      <w:r>
        <w:t>Postal address:</w:t>
      </w:r>
      <w:r>
        <w:tab/>
        <w:t>60, avenue J.F.  Kennedy, Luxembourg</w:t>
      </w:r>
    </w:p>
    <w:p w14:paraId="18A49C8A" w14:textId="77777777" w:rsidR="007409E1" w:rsidRDefault="007409E1">
      <w:pPr>
        <w:pStyle w:val="MarginText"/>
        <w:tabs>
          <w:tab w:val="left" w:pos="1440"/>
        </w:tabs>
      </w:pPr>
      <w:r>
        <w:tab/>
        <w:t xml:space="preserve">L-2085 Luxembourg </w:t>
      </w:r>
    </w:p>
    <w:p w14:paraId="7E161014" w14:textId="77777777" w:rsidR="007409E1" w:rsidRDefault="007409E1">
      <w:pPr>
        <w:pStyle w:val="MarginText"/>
        <w:tabs>
          <w:tab w:val="left" w:pos="1440"/>
        </w:tabs>
        <w:ind w:left="1440"/>
      </w:pPr>
      <w:r>
        <w:t>Grand-Duchy of Luxembourg</w:t>
      </w:r>
    </w:p>
    <w:p w14:paraId="2F73C714" w14:textId="77777777" w:rsidR="007409E1" w:rsidRDefault="007409E1">
      <w:pPr>
        <w:pStyle w:val="MarginText"/>
        <w:tabs>
          <w:tab w:val="left" w:pos="1440"/>
        </w:tabs>
      </w:pPr>
      <w:r>
        <w:t>Fax:</w:t>
      </w:r>
      <w:r>
        <w:tab/>
        <w:t>+ 352 2696 9757</w:t>
      </w:r>
    </w:p>
    <w:p w14:paraId="07A90ED4" w14:textId="77777777" w:rsidR="007409E1" w:rsidRDefault="007409E1">
      <w:pPr>
        <w:pStyle w:val="MarginText"/>
        <w:tabs>
          <w:tab w:val="left" w:pos="1440"/>
        </w:tabs>
      </w:pPr>
      <w:r>
        <w:t>Email:</w:t>
      </w:r>
      <w:r>
        <w:tab/>
        <w:t xml:space="preserve">lux.emetteurs@bnpparibas.com </w:t>
      </w:r>
    </w:p>
    <w:p w14:paraId="7BAA9635" w14:textId="77777777" w:rsidR="007409E1" w:rsidRDefault="007409E1">
      <w:pPr>
        <w:pStyle w:val="MarginText"/>
        <w:tabs>
          <w:tab w:val="left" w:pos="1440"/>
        </w:tabs>
      </w:pPr>
      <w:r>
        <w:t>Attention:</w:t>
      </w:r>
      <w:r>
        <w:tab/>
        <w:t>Corporate Trust Services</w:t>
      </w:r>
    </w:p>
    <w:p w14:paraId="5A515C20" w14:textId="77777777" w:rsidR="007409E1" w:rsidRDefault="007409E1">
      <w:pPr>
        <w:pStyle w:val="MarginText"/>
        <w:tabs>
          <w:tab w:val="left" w:pos="1440"/>
        </w:tabs>
      </w:pPr>
    </w:p>
    <w:p w14:paraId="7E480E9D" w14:textId="77777777" w:rsidR="007409E1" w:rsidRPr="00B606B1" w:rsidRDefault="007409E1">
      <w:pPr>
        <w:pStyle w:val="SchHead"/>
      </w:pPr>
      <w:r>
        <w:br w:type="page"/>
      </w:r>
      <w:bookmarkStart w:id="29" w:name="_Ref493561704"/>
      <w:bookmarkStart w:id="30" w:name="_Ref493561716"/>
      <w:bookmarkStart w:id="31" w:name="_Toc60859032"/>
      <w:r w:rsidRPr="00B606B1">
        <w:t>Form of Temporary Global Note</w:t>
      </w:r>
      <w:bookmarkEnd w:id="29"/>
      <w:bookmarkEnd w:id="30"/>
      <w:bookmarkEnd w:id="31"/>
    </w:p>
    <w:p w14:paraId="2D6598D1" w14:textId="77777777" w:rsidR="007409E1" w:rsidRPr="00B606B1" w:rsidRDefault="007409E1">
      <w:pPr>
        <w:pStyle w:val="MarginText"/>
        <w:tabs>
          <w:tab w:val="left" w:pos="1440"/>
        </w:tabs>
        <w:sectPr w:rsidR="007409E1" w:rsidRPr="00B606B1">
          <w:footnotePr>
            <w:numFmt w:val="lowerLetter"/>
          </w:footnotePr>
          <w:endnotePr>
            <w:numFmt w:val="decimal"/>
          </w:endnotePr>
          <w:type w:val="continuous"/>
          <w:pgSz w:w="11909" w:h="16834" w:code="9"/>
          <w:pgMar w:top="1440" w:right="1440" w:bottom="1800" w:left="1440" w:header="720" w:footer="720" w:gutter="0"/>
          <w:cols w:space="720"/>
          <w:noEndnote/>
        </w:sectPr>
      </w:pPr>
      <w:r w:rsidRPr="00B606B1">
        <w:t xml:space="preserve">[ANY UNITED STATES PERSON WHO HOLDS THIS OBLIGATION WILL BE SUBJECT TO LIMITATIONS UNDER THE UNITED STATES INCOME TAX LAWS, INCLUDING THE LIMITATIONS PROVIDED IN SECTIONS 165(j) AND 1287(a) OF THE INTERNAL REVENUE CODE.] </w:t>
      </w:r>
      <w:r w:rsidRPr="00B606B1">
        <w:rPr>
          <w:rStyle w:val="FootnoteReference"/>
        </w:rPr>
        <w:footnoteReference w:id="3"/>
      </w:r>
    </w:p>
    <w:p w14:paraId="2DA46677" w14:textId="77777777" w:rsidR="007409E1" w:rsidRPr="00B606B1" w:rsidRDefault="007409E1">
      <w:pPr>
        <w:pStyle w:val="MarginText"/>
        <w:tabs>
          <w:tab w:val="left" w:pos="1440"/>
        </w:tabs>
        <w:spacing w:after="0"/>
        <w:jc w:val="center"/>
        <w:rPr>
          <w:b/>
        </w:rPr>
      </w:pPr>
      <w:r w:rsidRPr="00B606B1">
        <w:rPr>
          <w:b/>
        </w:rPr>
        <w:t>ADIF-ALTA VELOCIDAD</w:t>
      </w:r>
    </w:p>
    <w:p w14:paraId="16FBA339" w14:textId="77777777" w:rsidR="007409E1" w:rsidRPr="00B606B1" w:rsidRDefault="007409E1">
      <w:pPr>
        <w:pStyle w:val="MarginText"/>
        <w:tabs>
          <w:tab w:val="left" w:pos="1440"/>
        </w:tabs>
        <w:jc w:val="center"/>
      </w:pPr>
      <w:r w:rsidRPr="00B606B1">
        <w:t>(</w:t>
      </w:r>
      <w:r w:rsidRPr="00B606B1">
        <w:rPr>
          <w:i/>
        </w:rPr>
        <w:t>established in the Kingdom of Spain</w:t>
      </w:r>
      <w:r w:rsidRPr="00B606B1">
        <w:t>)</w:t>
      </w:r>
    </w:p>
    <w:p w14:paraId="4EB179D4" w14:textId="77777777" w:rsidR="007409E1" w:rsidRPr="00B606B1" w:rsidRDefault="007409E1" w:rsidP="00232A6F">
      <w:pPr>
        <w:pStyle w:val="MarginText"/>
        <w:tabs>
          <w:tab w:val="left" w:pos="1440"/>
        </w:tabs>
        <w:spacing w:after="0"/>
        <w:jc w:val="center"/>
        <w:rPr>
          <w:b/>
        </w:rPr>
      </w:pPr>
      <w:r w:rsidRPr="00B606B1">
        <w:rPr>
          <w:b/>
        </w:rPr>
        <w:t>EUR </w:t>
      </w:r>
      <w:r w:rsidR="00E828BA" w:rsidRPr="00B606B1">
        <w:rPr>
          <w:b/>
        </w:rPr>
        <w:t>8</w:t>
      </w:r>
      <w:r w:rsidRPr="00B606B1">
        <w:rPr>
          <w:b/>
        </w:rPr>
        <w:t>,000,000,000</w:t>
      </w:r>
    </w:p>
    <w:p w14:paraId="099B95BB" w14:textId="77777777" w:rsidR="007409E1" w:rsidRPr="00B606B1" w:rsidRDefault="007409E1" w:rsidP="00232A6F">
      <w:pPr>
        <w:pStyle w:val="MarginText"/>
        <w:tabs>
          <w:tab w:val="left" w:pos="1440"/>
        </w:tabs>
        <w:spacing w:after="0"/>
        <w:jc w:val="center"/>
        <w:rPr>
          <w:b/>
        </w:rPr>
      </w:pPr>
      <w:r w:rsidRPr="00B606B1">
        <w:rPr>
          <w:b/>
        </w:rPr>
        <w:t>Euro Medium Term Note Programme</w:t>
      </w:r>
    </w:p>
    <w:p w14:paraId="30CBE700" w14:textId="77777777" w:rsidR="007409E1" w:rsidRDefault="007409E1" w:rsidP="00232A6F">
      <w:pPr>
        <w:pStyle w:val="MarginText"/>
        <w:tabs>
          <w:tab w:val="left" w:pos="1440"/>
        </w:tabs>
        <w:spacing w:after="0"/>
        <w:jc w:val="center"/>
        <w:rPr>
          <w:b/>
        </w:rPr>
      </w:pPr>
      <w:r w:rsidRPr="00B606B1">
        <w:rPr>
          <w:b/>
        </w:rPr>
        <w:t>TEMPORARY GLOBAL NOTE</w:t>
      </w:r>
    </w:p>
    <w:p w14:paraId="1969AA18" w14:textId="77777777" w:rsidR="007409E1" w:rsidRDefault="007409E1" w:rsidP="00E073F7">
      <w:pPr>
        <w:pStyle w:val="ScheduleL1"/>
        <w:keepNext/>
        <w:numPr>
          <w:ilvl w:val="0"/>
          <w:numId w:val="32"/>
        </w:numPr>
        <w:rPr>
          <w:b/>
        </w:rPr>
      </w:pPr>
      <w:r>
        <w:rPr>
          <w:b/>
        </w:rPr>
        <w:t>Introduction</w:t>
      </w:r>
    </w:p>
    <w:p w14:paraId="05AF0BF3" w14:textId="77777777" w:rsidR="007409E1" w:rsidRDefault="007409E1">
      <w:pPr>
        <w:pStyle w:val="ScheduleL2"/>
        <w:keepNext/>
      </w:pPr>
      <w:r>
        <w:t>The Notes</w:t>
      </w:r>
    </w:p>
    <w:p w14:paraId="276A29B8" w14:textId="77777777" w:rsidR="007409E1" w:rsidRDefault="007409E1">
      <w:pPr>
        <w:pStyle w:val="BodyTextIndent3"/>
      </w:pPr>
      <w:r>
        <w:t xml:space="preserve">This Temporary Global Note is issued in respect of the notes (the </w:t>
      </w:r>
      <w:r>
        <w:rPr>
          <w:b/>
        </w:rPr>
        <w:t>"Notes"</w:t>
      </w:r>
      <w:r>
        <w:t xml:space="preserve">) of ADIF-Alta Velocidad (the </w:t>
      </w:r>
      <w:r>
        <w:rPr>
          <w:b/>
        </w:rPr>
        <w:t>"Issuer"</w:t>
      </w:r>
      <w:r>
        <w:t xml:space="preserve">), described in the final terms (the </w:t>
      </w:r>
      <w:r>
        <w:rPr>
          <w:b/>
        </w:rPr>
        <w:t>"Final Terms"</w:t>
      </w:r>
      <w:r>
        <w:t>) or drawdown prospectus (</w:t>
      </w:r>
      <w:r>
        <w:rPr>
          <w:b/>
        </w:rPr>
        <w:t>"Drawdown Prospectus"</w:t>
      </w:r>
      <w:r>
        <w:t>) a copy of which is annexed hereto.  If a Drawdown Prospectus is annexed hereto, each reference in this Temporary Global Note to "Final Terms" shall be read and construed as a reference to the final terms of the Notes set out in such Drawdown Prospectus.  The Notes:</w:t>
      </w:r>
    </w:p>
    <w:p w14:paraId="2ECF336A" w14:textId="77777777" w:rsidR="007409E1" w:rsidRDefault="007409E1">
      <w:pPr>
        <w:pStyle w:val="ScheduleL3"/>
      </w:pPr>
      <w:r>
        <w:t>Deed of Covenant: (insofar as they are represented by this Temporary Global Note) have the benefit of a deed of covenant dated</w:t>
      </w:r>
      <w:r w:rsidR="006114A1">
        <w:t xml:space="preserve"> </w:t>
      </w:r>
      <w:bookmarkStart w:id="32" w:name="_Hlk128136712"/>
      <w:r w:rsidR="00C43165">
        <w:t>11</w:t>
      </w:r>
      <w:r w:rsidR="00BC16C1">
        <w:t xml:space="preserve"> </w:t>
      </w:r>
      <w:bookmarkStart w:id="33" w:name="_Hlk21805864"/>
      <w:r w:rsidR="00C43165">
        <w:t>April 2023</w:t>
      </w:r>
      <w:r>
        <w:t xml:space="preserve"> </w:t>
      </w:r>
      <w:bookmarkEnd w:id="32"/>
      <w:bookmarkEnd w:id="33"/>
      <w:r>
        <w:t xml:space="preserve">(the </w:t>
      </w:r>
      <w:r>
        <w:rPr>
          <w:b/>
        </w:rPr>
        <w:t>"Deed of Covenant"</w:t>
      </w:r>
      <w:r>
        <w:t>) executed by the Issuer; and</w:t>
      </w:r>
    </w:p>
    <w:p w14:paraId="5DF42C7E" w14:textId="77777777" w:rsidR="007409E1" w:rsidRDefault="007409E1">
      <w:pPr>
        <w:pStyle w:val="ScheduleL3"/>
      </w:pPr>
      <w:r>
        <w:t xml:space="preserve">Agency Agreement: are the subject of an amended and restated fiscal agency agreement dated </w:t>
      </w:r>
      <w:r w:rsidR="00C43165">
        <w:t>11</w:t>
      </w:r>
      <w:r w:rsidR="00BC16C1">
        <w:t xml:space="preserve"> April</w:t>
      </w:r>
      <w:r w:rsidR="00F019B1">
        <w:t xml:space="preserve"> 2023</w:t>
      </w:r>
      <w:r>
        <w:t xml:space="preserve">, as the same may be amended, restated, supplemented or replaced from time to time (the </w:t>
      </w:r>
      <w:r>
        <w:rPr>
          <w:b/>
        </w:rPr>
        <w:t>"Agency Agreement"</w:t>
      </w:r>
      <w:r>
        <w:t xml:space="preserve">) made between the Issuer, BNP Paribas, Luxembourg Branch as fiscal agent (the </w:t>
      </w:r>
      <w:r>
        <w:rPr>
          <w:b/>
        </w:rPr>
        <w:t>"Fiscal Agent"</w:t>
      </w:r>
      <w:r>
        <w:t xml:space="preserve">, which expression includes any successor fiscal agent appointed from time to time in connection with the Notes) and the other paying agents named therein (together with the Fiscal Agent, the </w:t>
      </w:r>
      <w:r>
        <w:rPr>
          <w:b/>
        </w:rPr>
        <w:t>"Paying Agents"</w:t>
      </w:r>
      <w:r>
        <w:t>, which expression includes any additional or successor paying agents appointed from time to time in connection with the Notes).</w:t>
      </w:r>
    </w:p>
    <w:p w14:paraId="7B5BC672" w14:textId="77777777" w:rsidR="007409E1" w:rsidRDefault="007409E1">
      <w:pPr>
        <w:pStyle w:val="ScheduleL2"/>
        <w:keepNext/>
      </w:pPr>
      <w:r>
        <w:t>Construction</w:t>
      </w:r>
    </w:p>
    <w:p w14:paraId="0AD8FA1B" w14:textId="77777777" w:rsidR="007409E1" w:rsidRDefault="007409E1">
      <w:pPr>
        <w:pStyle w:val="BodyTextIndent3"/>
      </w:pPr>
      <w:r>
        <w:t>All references in this Temporary Global Note to an agreement, instrument or other document (including the Agency Agreement and the Deed of Covenant) shall be construed as a reference to that agreement, instrument or other document as the same may be amended, supplemented, replaced or novated from time to time provided that, in the case of any amendment, supplement, replacement or novation made after the date hereof, it is made in accordance with the Conditions.  Headings and sub-headings are for ease of reference only and shall not affect the construction of this Temporary Global Note.</w:t>
      </w:r>
    </w:p>
    <w:p w14:paraId="40FF867F" w14:textId="77777777" w:rsidR="007409E1" w:rsidRDefault="007409E1">
      <w:pPr>
        <w:pStyle w:val="ScheduleL2"/>
        <w:keepNext/>
      </w:pPr>
      <w:r>
        <w:t>References to Conditions</w:t>
      </w:r>
    </w:p>
    <w:p w14:paraId="25D781D1" w14:textId="77777777" w:rsidR="007409E1" w:rsidRDefault="007409E1">
      <w:pPr>
        <w:pStyle w:val="BodyTextIndent3"/>
      </w:pPr>
      <w:r>
        <w:t xml:space="preserve">Any reference herein to the </w:t>
      </w:r>
      <w:r>
        <w:rPr>
          <w:b/>
        </w:rPr>
        <w:t>"Conditions"</w:t>
      </w:r>
      <w:r>
        <w:t xml:space="preserve"> is to the Conditions as defined in the Agency Agreement, as completed by the Final Terms, and any reference to a numbered </w:t>
      </w:r>
      <w:r>
        <w:rPr>
          <w:b/>
        </w:rPr>
        <w:t>"Condition"</w:t>
      </w:r>
      <w:r>
        <w:t xml:space="preserve"> is to the correspondingly numbered provision thereof.  Words and expressions defined in the Conditions shall have the same meanings when used in this Temporary Global Note.</w:t>
      </w:r>
    </w:p>
    <w:p w14:paraId="579BF3EF" w14:textId="77777777" w:rsidR="007409E1" w:rsidRDefault="007409E1">
      <w:pPr>
        <w:pStyle w:val="ScheduleL1"/>
        <w:keepNext/>
        <w:rPr>
          <w:b/>
        </w:rPr>
      </w:pPr>
      <w:r>
        <w:rPr>
          <w:b/>
        </w:rPr>
        <w:t>Promise to pay</w:t>
      </w:r>
    </w:p>
    <w:p w14:paraId="14E9FCD5" w14:textId="77777777" w:rsidR="007409E1" w:rsidRDefault="007409E1">
      <w:pPr>
        <w:pStyle w:val="ScheduleL2"/>
        <w:keepNext/>
      </w:pPr>
      <w:r>
        <w:t>Pay to bearer</w:t>
      </w:r>
    </w:p>
    <w:p w14:paraId="6F952528" w14:textId="77777777" w:rsidR="007409E1" w:rsidRDefault="007409E1">
      <w:pPr>
        <w:pStyle w:val="BodyTextIndent3"/>
      </w:pPr>
      <w:r>
        <w:t>The Issuer, for value received, promises to pay to the bearer of this Temporary Global Note, in respect of each Note represented by this Temporary Global Note, the Redemption Amount on the Maturity Date or on such earlier date or dates as the same may become payable in accordance with the Conditions (or to pay such other amounts of principal on such dates as may be specified in the Final Terms), and to pay interest on each such Note on the dates and in the manner specified in the Conditions, together with any additional amounts payable in accordance with the Conditions, all subject to and in accordance with the Conditions; provided, however, that such interest shall be payable only:</w:t>
      </w:r>
    </w:p>
    <w:p w14:paraId="47BF6F0F" w14:textId="77777777" w:rsidR="007409E1" w:rsidRDefault="007409E1">
      <w:pPr>
        <w:pStyle w:val="ScheduleL3"/>
      </w:pPr>
      <w:r>
        <w:rPr>
          <w:i/>
        </w:rPr>
        <w:t>Before the Exchange Date</w:t>
      </w:r>
      <w:r>
        <w:t>: in the case of interest falling due before the Exchange Date (as defined below), to the extent that a certificate or certificates issued by Euroclear Bank SA/NV (</w:t>
      </w:r>
      <w:r>
        <w:rPr>
          <w:b/>
        </w:rPr>
        <w:t>"Euroclear"</w:t>
      </w:r>
      <w:r>
        <w:t>) and/or Clearstream Banking, société anonyme, Luxembourg (</w:t>
      </w:r>
      <w:r>
        <w:rPr>
          <w:b/>
        </w:rPr>
        <w:t>"Clearstream, Luxembourg"</w:t>
      </w:r>
      <w:r>
        <w:t xml:space="preserve">, together with Euroclear, the international central securities depositaries or </w:t>
      </w:r>
      <w:r>
        <w:rPr>
          <w:b/>
        </w:rPr>
        <w:t>"ICSDs"</w:t>
      </w:r>
      <w:r>
        <w:t>) and/or any other relevant clearing system dated not earlier than the date on which such interest falls due and in substantially the form set out in schedule 3 (</w:t>
      </w:r>
      <w:r>
        <w:rPr>
          <w:i/>
        </w:rPr>
        <w:t>Form of Euroclear/Clearstream, Luxembourg Certification</w:t>
      </w:r>
      <w:r>
        <w:t>) hereto is/are delivered to the Specified Office of the Fiscal Agent; or</w:t>
      </w:r>
    </w:p>
    <w:p w14:paraId="16147249" w14:textId="77777777" w:rsidR="007409E1" w:rsidRDefault="007409E1">
      <w:pPr>
        <w:pStyle w:val="ScheduleL3"/>
      </w:pPr>
      <w:r>
        <w:rPr>
          <w:i/>
        </w:rPr>
        <w:t>Failure to exchange</w:t>
      </w:r>
      <w:r>
        <w:t>: in the case of interest falling due at any time, to the extent that the Issuer has failed to procure the exchange for a permanent global note of that portion of this Temporary Global Note in respect of which such interest has accrued.</w:t>
      </w:r>
    </w:p>
    <w:p w14:paraId="29711A36" w14:textId="77777777" w:rsidR="007409E1" w:rsidRDefault="007409E1">
      <w:pPr>
        <w:pStyle w:val="ScheduleL2"/>
        <w:keepNext/>
      </w:pPr>
      <w:r>
        <w:t>NGN Principal Amount</w:t>
      </w:r>
    </w:p>
    <w:p w14:paraId="73074C3A" w14:textId="77777777" w:rsidR="007409E1" w:rsidRDefault="007409E1">
      <w:pPr>
        <w:pStyle w:val="BodyTextIndent3"/>
      </w:pPr>
      <w:r>
        <w:t xml:space="preserve">If the Final Terms specify that the New Global Note form is applicable, this Temporary Global Note shall be a </w:t>
      </w:r>
      <w:r>
        <w:rPr>
          <w:b/>
        </w:rPr>
        <w:t>"New Global Note"</w:t>
      </w:r>
      <w:r>
        <w:t xml:space="preserve"> or </w:t>
      </w:r>
      <w:r>
        <w:rPr>
          <w:b/>
        </w:rPr>
        <w:t>"NGN"</w:t>
      </w:r>
      <w:r>
        <w:t xml:space="preserve"> and the principal amount of Notes represented by this Temporary Global Note shall be the aggregate amount from time to time entered in the records of both ICSDs.  The records of the ICSDs (which expression in this Temporary Global Note means the records that each ICSD holds for its customers which reflect the amount of such customers' interests in the Notes (but excluding any interest in any Notes of one ICSD shown in the records of another ICSD)) shall be conclusive evidence of the principal amount of Notes represented by this Temporary Global Note and, for these purposes, a statement issued by an ICSD (which statement shall be made available to the bearer upon request) stating the principal amount of Notes represented by this Temporary Global Note at any time shall be conclusive evidence of the records of the ICSD at that time.</w:t>
      </w:r>
    </w:p>
    <w:p w14:paraId="7A043943" w14:textId="77777777" w:rsidR="007409E1" w:rsidRDefault="007409E1">
      <w:pPr>
        <w:pStyle w:val="ScheduleL2"/>
        <w:keepNext/>
      </w:pPr>
      <w:r>
        <w:t>CGN Principal Amount</w:t>
      </w:r>
    </w:p>
    <w:p w14:paraId="0F15CAA3" w14:textId="77777777" w:rsidR="007409E1" w:rsidRDefault="007409E1">
      <w:pPr>
        <w:pStyle w:val="BodyTextIndent3"/>
        <w:tabs>
          <w:tab w:val="left" w:pos="4950"/>
        </w:tabs>
      </w:pPr>
      <w:r>
        <w:t xml:space="preserve">If the Final Terms specify that the New Global Note form is not applicable, this Temporary Global Note shall be a </w:t>
      </w:r>
      <w:r>
        <w:rPr>
          <w:b/>
        </w:rPr>
        <w:t>"Classic Global Note"</w:t>
      </w:r>
      <w:r>
        <w:t xml:space="preserve"> or </w:t>
      </w:r>
      <w:r>
        <w:rPr>
          <w:b/>
        </w:rPr>
        <w:t>"CGN"</w:t>
      </w:r>
      <w:r>
        <w:t xml:space="preserve"> and the principal amount of Notes represented by this Temporary Global Note shall be the amount stated in the Final Terms or, if lower, the principal amount most recently entered by or on behalf of the Issuer in the relevant column in schedule 1 (</w:t>
      </w:r>
      <w:r>
        <w:rPr>
          <w:i/>
        </w:rPr>
        <w:t>Payments, Exchange and Cancellation of Notes</w:t>
      </w:r>
      <w:r>
        <w:t>).</w:t>
      </w:r>
    </w:p>
    <w:p w14:paraId="520B761A" w14:textId="77777777" w:rsidR="007409E1" w:rsidRDefault="007409E1">
      <w:pPr>
        <w:pStyle w:val="ScheduleL1"/>
        <w:keepNext/>
        <w:rPr>
          <w:b/>
        </w:rPr>
      </w:pPr>
      <w:r>
        <w:rPr>
          <w:b/>
        </w:rPr>
        <w:t>Negotiability</w:t>
      </w:r>
    </w:p>
    <w:p w14:paraId="1CBEA7B4" w14:textId="77777777" w:rsidR="007409E1" w:rsidRDefault="007409E1">
      <w:pPr>
        <w:pStyle w:val="BodyTextIndent"/>
      </w:pPr>
      <w:r>
        <w:t>This Temporary Global Note is negotiable and, accordingly, title to this Temporary Global Note shall pass by delivery.</w:t>
      </w:r>
    </w:p>
    <w:p w14:paraId="59345937" w14:textId="77777777" w:rsidR="007409E1" w:rsidRDefault="007409E1">
      <w:pPr>
        <w:pStyle w:val="ScheduleL1"/>
        <w:keepNext/>
        <w:rPr>
          <w:b/>
        </w:rPr>
      </w:pPr>
      <w:r>
        <w:rPr>
          <w:b/>
        </w:rPr>
        <w:t>Exchange</w:t>
      </w:r>
    </w:p>
    <w:p w14:paraId="484F6EFE" w14:textId="77777777" w:rsidR="007409E1" w:rsidRDefault="007409E1">
      <w:pPr>
        <w:pStyle w:val="ScheduleL2"/>
        <w:keepNext/>
      </w:pPr>
      <w:r>
        <w:t>Permanent Global Note</w:t>
      </w:r>
    </w:p>
    <w:p w14:paraId="2A61E236" w14:textId="77777777" w:rsidR="007409E1" w:rsidRDefault="007409E1">
      <w:pPr>
        <w:pStyle w:val="BodyTextIndent3"/>
      </w:pPr>
      <w:r>
        <w:t>If the Final Terms specify the form of Notes as being "Temporary Global Note exchangeable for a Permanent Global Note", then on or after the day following the expiry of 40 days after the date of issue of this Temporary Global Note (the </w:t>
      </w:r>
      <w:r>
        <w:rPr>
          <w:b/>
        </w:rPr>
        <w:t>"Exchange Date"</w:t>
      </w:r>
      <w:r>
        <w:t>), the Issuer shall procure (in the case of first exchange) the delivery of a Permanent Global Note (which expression has the meaning given in the Agency Agreement) in accordance with the Agency Agreement to the bearer of this Temporary Global Note or (in the case of any subsequent exchange) an increase in the principal amount of the Permanent Global Note in accordance with its terms against:</w:t>
      </w:r>
    </w:p>
    <w:p w14:paraId="08300697" w14:textId="77777777" w:rsidR="007409E1" w:rsidRDefault="007409E1">
      <w:pPr>
        <w:pStyle w:val="ScheduleL3"/>
      </w:pPr>
      <w:r>
        <w:rPr>
          <w:i/>
        </w:rPr>
        <w:t>Presentation and surrender</w:t>
      </w:r>
      <w:r>
        <w:t>: presentation and (in the case of final exchange) presentation and surrender of this Temporary Global Note to or to the order of the Fiscal Agent; and</w:t>
      </w:r>
    </w:p>
    <w:p w14:paraId="35798195" w14:textId="77777777" w:rsidR="007409E1" w:rsidRDefault="007409E1">
      <w:pPr>
        <w:pStyle w:val="ScheduleL3"/>
      </w:pPr>
      <w:r>
        <w:rPr>
          <w:i/>
        </w:rPr>
        <w:t>Certification</w:t>
      </w:r>
      <w:r>
        <w:t>: receipt by the Fiscal Agent of a certificate or certificates issued by Euroclear and/or Clearstream, Luxembourg and/or any other relevant clearing system dated not earlier than the Exchange Date and in substantially the form set out in schedule 3 (</w:t>
      </w:r>
      <w:r>
        <w:rPr>
          <w:i/>
        </w:rPr>
        <w:t>Form of Euroclear/Clearstream, Luxembourg Certification</w:t>
      </w:r>
      <w:r>
        <w:t>) hereto.</w:t>
      </w:r>
    </w:p>
    <w:p w14:paraId="116D09D9" w14:textId="77777777" w:rsidR="007409E1" w:rsidRDefault="007409E1">
      <w:pPr>
        <w:pStyle w:val="BodyTextIndent3"/>
      </w:pPr>
      <w:r>
        <w:t>The principal amount of Notes represented by the Permanent Global Note shall be equal to the aggregate of the principal amounts specified in the certificates issued by Euroclear and/or Clearstream, Luxembourg and/or any other relevant clearing system and received by the Fiscal Agent; provided, however, that in no circumstances shall the principal amount of Notes represented by the Permanent Global Note exceed the initial principal amount of Notes represented by this Temporary Global Note.</w:t>
      </w:r>
    </w:p>
    <w:p w14:paraId="1F1F7FB5" w14:textId="77777777" w:rsidR="007409E1" w:rsidRDefault="007409E1">
      <w:pPr>
        <w:pStyle w:val="ScheduleL2"/>
        <w:keepNext/>
      </w:pPr>
      <w:r>
        <w:t>Definitive Notes; Not D Rules</w:t>
      </w:r>
    </w:p>
    <w:p w14:paraId="16730D3C" w14:textId="77777777" w:rsidR="007409E1" w:rsidRDefault="007409E1">
      <w:pPr>
        <w:pStyle w:val="BodyTextIndent3"/>
      </w:pPr>
      <w:r>
        <w:t xml:space="preserve">If the Final Terms specify the form of Notes as being "Temporary Global Note exchangeable for Definitive Notes" and also specify that the C Rules are applicable or that neither the C Rules nor the D Rules are applicable, then on or after the day following the expiry of 40 days after the date of issue of this Temporary Global Note (the </w:t>
      </w:r>
      <w:r>
        <w:rPr>
          <w:b/>
        </w:rPr>
        <w:t>"Exchange Date"</w:t>
      </w:r>
      <w:r>
        <w:t>), the Issuer shall procure the delivery of Definitive Notes (which expression has the meaning given in the Agency Agreement) in accordance with the Agency Agreement with Coupons and Talons (if so specified in the Final Terms) attached and in an aggregate principal amount equal to the principal amount of Notes represented by this Temporary Global Note to the bearer of this Temporary Global Note against presentation and surrender of this Temporary Global Note to or to the order of the Fiscal Agent.</w:t>
      </w:r>
    </w:p>
    <w:p w14:paraId="56CF7F67" w14:textId="77777777" w:rsidR="007409E1" w:rsidRDefault="007409E1">
      <w:pPr>
        <w:pStyle w:val="ScheduleL2"/>
        <w:keepNext/>
      </w:pPr>
      <w:r>
        <w:t>Definitive Notes; D Rules</w:t>
      </w:r>
    </w:p>
    <w:p w14:paraId="71576CA1" w14:textId="77777777" w:rsidR="007409E1" w:rsidRDefault="007409E1">
      <w:pPr>
        <w:pStyle w:val="BodyTextIndent3"/>
      </w:pPr>
      <w:r>
        <w:t xml:space="preserve">If the Final Terms specify the form of Notes as being "Temporary Global Note exchangeable for Definitive Notes" and also specifies that the D Rules are applicable, then on or after the day following the expiry of 40 days after the date of issue of this Global Note (the </w:t>
      </w:r>
      <w:r>
        <w:rPr>
          <w:b/>
        </w:rPr>
        <w:t>"Exchange Date"</w:t>
      </w:r>
      <w:r>
        <w:t>), the Issuer shall procure the delivery of Definitive Notes (which expression has the meaning given in the Agency Agreement) in accordance with the Agency Agreement with Coupons and Talons (if so specified in the Final Terms) attached against:</w:t>
      </w:r>
    </w:p>
    <w:p w14:paraId="41EF5101" w14:textId="77777777" w:rsidR="007409E1" w:rsidRDefault="007409E1">
      <w:pPr>
        <w:pStyle w:val="ScheduleL3"/>
      </w:pPr>
      <w:r>
        <w:rPr>
          <w:i/>
        </w:rPr>
        <w:t>Presentation and surrender</w:t>
      </w:r>
      <w:r>
        <w:t>: presentation and (in the case of final exchange) surrender of this Temporary Global Note to or to the order of the Fiscal Agent; and</w:t>
      </w:r>
    </w:p>
    <w:p w14:paraId="1503583A" w14:textId="77777777" w:rsidR="007409E1" w:rsidRDefault="007409E1">
      <w:pPr>
        <w:pStyle w:val="ScheduleL3"/>
      </w:pPr>
      <w:r>
        <w:rPr>
          <w:i/>
        </w:rPr>
        <w:t>Certification</w:t>
      </w:r>
      <w:r>
        <w:t>: receipt by the Fiscal Agent of a certificate or certificates issued by Euroclear and/or Clearstream, Luxembourg and/or any other relevant clearing system dated not earlier than the Exchange Date and in substantially the form set out in schedule 3 (</w:t>
      </w:r>
      <w:r>
        <w:rPr>
          <w:i/>
        </w:rPr>
        <w:t>Form of Euroclear/Clearstream, Luxembourg Certification</w:t>
      </w:r>
      <w:r>
        <w:t>) hereto.</w:t>
      </w:r>
    </w:p>
    <w:p w14:paraId="3C5C59C6" w14:textId="77777777" w:rsidR="007409E1" w:rsidRDefault="007409E1">
      <w:pPr>
        <w:pStyle w:val="BodyTextIndent3"/>
      </w:pPr>
      <w:r>
        <w:t>The Definitive Notes so delivered from time to time shall be in an aggregate principal amount equal to the aggregate of the principal amounts specified in the certificates issued by Euroclear and/or Clearstream, Luxembourg and/or any other relevant clearing system and received by the Fiscal Agent; provided, however, that in no circumstances shall the aggregate principal amount of Definitive Notes so delivered exceed the initial principal amount of Notes represented by this Temporary Global Note.</w:t>
      </w:r>
    </w:p>
    <w:p w14:paraId="3DECDD51" w14:textId="77777777" w:rsidR="007409E1" w:rsidRDefault="007409E1">
      <w:pPr>
        <w:pStyle w:val="ScheduleL1"/>
        <w:keepNext/>
        <w:rPr>
          <w:b/>
        </w:rPr>
      </w:pPr>
      <w:bookmarkStart w:id="34" w:name="_Ref493565636"/>
      <w:r>
        <w:rPr>
          <w:b/>
        </w:rPr>
        <w:t>Delivery of Permanent Global or Definitive Notes</w:t>
      </w:r>
      <w:bookmarkEnd w:id="34"/>
    </w:p>
    <w:p w14:paraId="42F344D7" w14:textId="77777777" w:rsidR="007409E1" w:rsidRDefault="007409E1">
      <w:pPr>
        <w:pStyle w:val="ScheduleL2"/>
        <w:keepNext/>
      </w:pPr>
      <w:r>
        <w:t>Permanent Global Note</w:t>
      </w:r>
    </w:p>
    <w:p w14:paraId="09A4D2D6" w14:textId="77777777" w:rsidR="007409E1" w:rsidRDefault="007409E1">
      <w:pPr>
        <w:pStyle w:val="BodyTextIndent3"/>
      </w:pPr>
      <w:r>
        <w:t>Whenever any interest in this Temporary Global Note is to be exchanged for an interest in a Permanent Global Note, the Issuer shall procure (in the case of first exchange) the prompt delivery (free of charge to the bearer) of such Permanent Global Note, duly authenticated, to the bearer of this Temporary Global Note or (in the case of any subsequent exchange) an increase in the principal amount of Notes represented by such Permanent Global Note in accordance with its terms, in each case in an aggregate principal amount equal to the aggregate of the principal amounts specified in the certificates issued by Euroclear and/or Clearstream, Luxembourg and/or any other relevant clearing system and received by the Fiscal Agent against presentation and (in the case of final exchange) surrender of this Temporary Global Note to or to the order of the Fiscal Agent within seven days of the bearer requesting such exchange.</w:t>
      </w:r>
    </w:p>
    <w:p w14:paraId="13391058" w14:textId="77777777" w:rsidR="007409E1" w:rsidRDefault="007409E1">
      <w:pPr>
        <w:pStyle w:val="ScheduleL2"/>
        <w:keepNext/>
      </w:pPr>
      <w:r>
        <w:t>Definitive Notes</w:t>
      </w:r>
    </w:p>
    <w:p w14:paraId="0F34C714" w14:textId="77777777" w:rsidR="007409E1" w:rsidRDefault="007409E1">
      <w:pPr>
        <w:pStyle w:val="BodyTextIndent3"/>
      </w:pPr>
      <w:r>
        <w:t>Whenever this Temporary Global Note is to be exchanged for Definitive Notes, the Issuer shall procure the prompt delivery (free of charge to the bearer) of such Definitive Notes, duly authenticated and with Coupons and Talons attached (if so specified in the Final Terms), in an aggregate principal amount equal to the principal amount of Notes represented by this Temporary Global Note to the bearer of this Temporary Global Note against the surrender of this Temporary Global Note to or to the order of the Fiscal Agent within 30 days of the bearer requesting such exchange.</w:t>
      </w:r>
    </w:p>
    <w:p w14:paraId="76C60C33" w14:textId="77777777" w:rsidR="007409E1" w:rsidRDefault="007409E1">
      <w:pPr>
        <w:pStyle w:val="ScheduleL1"/>
        <w:keepNext/>
        <w:rPr>
          <w:b/>
        </w:rPr>
      </w:pPr>
      <w:r>
        <w:rPr>
          <w:b/>
        </w:rPr>
        <w:t>Failure to deliver permanent global or definitive notes or to repay</w:t>
      </w:r>
    </w:p>
    <w:p w14:paraId="26CEFABD" w14:textId="77777777" w:rsidR="007409E1" w:rsidRDefault="007409E1">
      <w:pPr>
        <w:pStyle w:val="BodyTextIndent"/>
        <w:keepNext/>
      </w:pPr>
      <w:r>
        <w:t>If:</w:t>
      </w:r>
    </w:p>
    <w:p w14:paraId="6D75E206" w14:textId="77777777" w:rsidR="007409E1" w:rsidRDefault="007409E1">
      <w:pPr>
        <w:pStyle w:val="ScheduleL2"/>
      </w:pPr>
      <w:bookmarkStart w:id="35" w:name="_Ref493565851"/>
      <w:r>
        <w:rPr>
          <w:i/>
        </w:rPr>
        <w:t>Permanent Global Note</w:t>
      </w:r>
      <w:r>
        <w:t>: the Permanent Global Note has not been delivered or the principal amount thereof increased in accordance with paragraph </w:t>
      </w:r>
      <w:r>
        <w:fldChar w:fldCharType="begin"/>
      </w:r>
      <w:r>
        <w:instrText xml:space="preserve"> REF _Ref493565636 \w \h </w:instrText>
      </w:r>
      <w:r>
        <w:fldChar w:fldCharType="separate"/>
      </w:r>
      <w:r w:rsidR="007465B3">
        <w:t>5</w:t>
      </w:r>
      <w:r>
        <w:fldChar w:fldCharType="end"/>
      </w:r>
      <w:r>
        <w:t xml:space="preserve"> (</w:t>
      </w:r>
      <w:r>
        <w:rPr>
          <w:i/>
        </w:rPr>
        <w:fldChar w:fldCharType="begin"/>
      </w:r>
      <w:r>
        <w:rPr>
          <w:i/>
        </w:rPr>
        <w:instrText xml:space="preserve"> REF _Ref493565636 \h  \* MERGEFORMAT </w:instrText>
      </w:r>
      <w:r>
        <w:rPr>
          <w:i/>
        </w:rPr>
      </w:r>
      <w:r>
        <w:rPr>
          <w:i/>
        </w:rPr>
        <w:fldChar w:fldCharType="separate"/>
      </w:r>
      <w:r w:rsidR="007465B3" w:rsidRPr="007465B3">
        <w:rPr>
          <w:i/>
        </w:rPr>
        <w:t>Delivery of Permanent Global or Definitive Notes</w:t>
      </w:r>
      <w:r>
        <w:rPr>
          <w:i/>
        </w:rPr>
        <w:fldChar w:fldCharType="end"/>
      </w:r>
      <w:r>
        <w:t>) by 5.00pm (London time) on the seventh day after the bearer has requested exchange of an interest in this Temporary Global Note for an interest in a Permanent Global Note; or</w:t>
      </w:r>
      <w:bookmarkEnd w:id="35"/>
    </w:p>
    <w:p w14:paraId="5E6CF750" w14:textId="77777777" w:rsidR="007409E1" w:rsidRDefault="007409E1">
      <w:pPr>
        <w:pStyle w:val="ScheduleL2"/>
      </w:pPr>
      <w:bookmarkStart w:id="36" w:name="_Ref493565856"/>
      <w:r>
        <w:rPr>
          <w:i/>
        </w:rPr>
        <w:t>Definitive Notes</w:t>
      </w:r>
      <w:r>
        <w:t>: Definitive Notes have not been delivered in accordance with paragraph </w:t>
      </w:r>
      <w:r>
        <w:fldChar w:fldCharType="begin"/>
      </w:r>
      <w:r>
        <w:instrText xml:space="preserve"> REF _Ref493565636 \w \h </w:instrText>
      </w:r>
      <w:r>
        <w:fldChar w:fldCharType="separate"/>
      </w:r>
      <w:r w:rsidR="007465B3">
        <w:t>5</w:t>
      </w:r>
      <w:r>
        <w:fldChar w:fldCharType="end"/>
      </w:r>
      <w:r>
        <w:t xml:space="preserve"> (</w:t>
      </w:r>
      <w:r>
        <w:rPr>
          <w:i/>
        </w:rPr>
        <w:fldChar w:fldCharType="begin"/>
      </w:r>
      <w:r>
        <w:rPr>
          <w:i/>
        </w:rPr>
        <w:instrText xml:space="preserve"> REF _Ref493565636 \h  \* MERGEFORMAT </w:instrText>
      </w:r>
      <w:r>
        <w:rPr>
          <w:i/>
        </w:rPr>
      </w:r>
      <w:r>
        <w:rPr>
          <w:i/>
        </w:rPr>
        <w:fldChar w:fldCharType="separate"/>
      </w:r>
      <w:r w:rsidR="007465B3" w:rsidRPr="007465B3">
        <w:rPr>
          <w:i/>
        </w:rPr>
        <w:t>Delivery of Permanent Global or Definitive Notes</w:t>
      </w:r>
      <w:r>
        <w:rPr>
          <w:i/>
        </w:rPr>
        <w:fldChar w:fldCharType="end"/>
      </w:r>
      <w:r>
        <w:t>) by 5.00pm (London time) on the thirtieth day after the bearer has requested exchange of this Temporary Global Note for Definitive Notes; or</w:t>
      </w:r>
      <w:bookmarkEnd w:id="36"/>
    </w:p>
    <w:p w14:paraId="1558B113" w14:textId="77777777" w:rsidR="007409E1" w:rsidRDefault="007409E1">
      <w:pPr>
        <w:pStyle w:val="ScheduleL2"/>
      </w:pPr>
      <w:bookmarkStart w:id="37" w:name="_Ref493565858"/>
      <w:r>
        <w:rPr>
          <w:i/>
        </w:rPr>
        <w:t>Payment default</w:t>
      </w:r>
      <w:r>
        <w:t>: this Temporary Global Note (or any part hereof) has become due and payable in accordance with the Conditions or the date for final redemption of this Temporary Global Note has occurred and, in either case, payment in full of the amount of principal falling due with all accrued interest thereon has not been made to the bearer in accordance with the terms of this Temporary Global Note on the due date for payment,</w:t>
      </w:r>
      <w:bookmarkEnd w:id="37"/>
    </w:p>
    <w:p w14:paraId="068DE6CB" w14:textId="77777777" w:rsidR="007409E1" w:rsidRDefault="007409E1">
      <w:pPr>
        <w:pStyle w:val="BodyTextIndent"/>
      </w:pPr>
      <w:r>
        <w:t>then this Temporary Global Note (including the obligation to deliver a Permanent Global Note or Definitive Notes (as the case may be)) will become void at 5.00pm (London time) on such seventh day (in the case of paragraph </w:t>
      </w:r>
      <w:r>
        <w:fldChar w:fldCharType="begin"/>
      </w:r>
      <w:r>
        <w:instrText xml:space="preserve"> REF _Ref493565851 \w \h </w:instrText>
      </w:r>
      <w:r>
        <w:fldChar w:fldCharType="separate"/>
      </w:r>
      <w:r w:rsidR="007465B3">
        <w:t>6(a)</w:t>
      </w:r>
      <w:r>
        <w:fldChar w:fldCharType="end"/>
      </w:r>
      <w:r>
        <w:t xml:space="preserve"> (</w:t>
      </w:r>
      <w:r>
        <w:rPr>
          <w:i/>
        </w:rPr>
        <w:t>Permanent Global Note</w:t>
      </w:r>
      <w:r>
        <w:t>)) or at 5.00pm (London time) on such thirtieth day (in the case of paragraph </w:t>
      </w:r>
      <w:r>
        <w:fldChar w:fldCharType="begin"/>
      </w:r>
      <w:r>
        <w:instrText xml:space="preserve"> REF _Ref493565856 \w \h </w:instrText>
      </w:r>
      <w:r>
        <w:fldChar w:fldCharType="separate"/>
      </w:r>
      <w:r w:rsidR="007465B3">
        <w:t>6(b)</w:t>
      </w:r>
      <w:r>
        <w:fldChar w:fldCharType="end"/>
      </w:r>
      <w:r>
        <w:t xml:space="preserve"> (</w:t>
      </w:r>
      <w:r>
        <w:rPr>
          <w:i/>
        </w:rPr>
        <w:t>Definitive Notes</w:t>
      </w:r>
      <w:r>
        <w:t>)) or at 5.00pm (London time) on such due date (in the case of paragraph </w:t>
      </w:r>
      <w:r>
        <w:fldChar w:fldCharType="begin"/>
      </w:r>
      <w:r>
        <w:instrText xml:space="preserve"> REF _Ref493565858 \w \h </w:instrText>
      </w:r>
      <w:r>
        <w:fldChar w:fldCharType="separate"/>
      </w:r>
      <w:r w:rsidR="007465B3">
        <w:t>6(c)</w:t>
      </w:r>
      <w:r>
        <w:fldChar w:fldCharType="end"/>
      </w:r>
      <w:r>
        <w:t xml:space="preserve"> (</w:t>
      </w:r>
      <w:r>
        <w:rPr>
          <w:i/>
        </w:rPr>
        <w:t>Payment default</w:t>
      </w:r>
      <w:r>
        <w:t>)) and the bearer of this Temporary Global Note will have no further rights hereunder (but without prejudice to the rights which the bearer of this Temporary Global Note or others may have under the Deed of Covenant).  The Deed of Covenant has been deposited at the Specified Office of the Fiscal Agent and a copy of it may be inspected at the Specified Office of each Paying Agent.</w:t>
      </w:r>
    </w:p>
    <w:p w14:paraId="0CDBB8C4" w14:textId="77777777" w:rsidR="007409E1" w:rsidRDefault="007409E1">
      <w:pPr>
        <w:pStyle w:val="ScheduleL1"/>
        <w:keepNext/>
        <w:rPr>
          <w:b/>
        </w:rPr>
      </w:pPr>
      <w:r>
        <w:rPr>
          <w:b/>
        </w:rPr>
        <w:t>Writing Down</w:t>
      </w:r>
    </w:p>
    <w:p w14:paraId="644BE176" w14:textId="77777777" w:rsidR="007409E1" w:rsidRDefault="007409E1">
      <w:pPr>
        <w:pStyle w:val="BodyTextIndent"/>
        <w:keepNext/>
      </w:pPr>
      <w:r>
        <w:t>On each occasion on which:</w:t>
      </w:r>
    </w:p>
    <w:p w14:paraId="4E1556CA" w14:textId="77777777" w:rsidR="007409E1" w:rsidRDefault="007409E1">
      <w:pPr>
        <w:pStyle w:val="ScheduleL2"/>
      </w:pPr>
      <w:r>
        <w:rPr>
          <w:i/>
        </w:rPr>
        <w:t>Permanent Global Note</w:t>
      </w:r>
      <w:r>
        <w:t>: the Permanent Global Note is delivered or the principal amount of Notes represented thereby is increased in accordance with its terms in exchange for a further portion of this Temporary Global Note; or</w:t>
      </w:r>
    </w:p>
    <w:p w14:paraId="23AF64F1" w14:textId="77777777" w:rsidR="007409E1" w:rsidRDefault="007409E1">
      <w:pPr>
        <w:pStyle w:val="ScheduleL2"/>
      </w:pPr>
      <w:r>
        <w:rPr>
          <w:i/>
        </w:rPr>
        <w:t>Definitive Notes</w:t>
      </w:r>
      <w:r>
        <w:t>: Definitive Notes are delivered in exchange for this Temporary Global Note; or</w:t>
      </w:r>
    </w:p>
    <w:p w14:paraId="1AC03810" w14:textId="77777777" w:rsidR="007409E1" w:rsidRDefault="007409E1">
      <w:pPr>
        <w:pStyle w:val="ScheduleL2"/>
      </w:pPr>
      <w:r>
        <w:rPr>
          <w:i/>
        </w:rPr>
        <w:t>Cancellation</w:t>
      </w:r>
      <w:r>
        <w:t>: Notes represented by this Temporary Global Note are to be cancelled in accordance with Condition 8(h) (Redemption and Purchase - Cancellation),</w:t>
      </w:r>
    </w:p>
    <w:p w14:paraId="5B336E5D" w14:textId="77777777" w:rsidR="007409E1" w:rsidRDefault="007409E1">
      <w:pPr>
        <w:pStyle w:val="BodyTextIndent3"/>
        <w:keepNext/>
        <w:ind w:left="720"/>
      </w:pPr>
      <w:r>
        <w:t>the Issuer shall procure that:</w:t>
      </w:r>
    </w:p>
    <w:p w14:paraId="5F1DDA99" w14:textId="77777777" w:rsidR="007409E1" w:rsidRDefault="007409E1">
      <w:pPr>
        <w:pStyle w:val="ScheduleL3"/>
      </w:pPr>
      <w:r>
        <w:t>if the Final Terms specify that the New Global Note form is not applicable, (i) the principal amount of Notes represented by the Permanent Global Note, the principal amount of such increase or (as the case may be) the aggregate principal amount of such Notes and (ii) the remaining principal amount of Notes represented by this Temporary Global Note (which shall be the previous principal amount of Notes represented by this Temporary Global Note less the aggregate of the applicable amounts referred to in (i)) are entered in schedule 1 (</w:t>
      </w:r>
      <w:r>
        <w:rPr>
          <w:i/>
        </w:rPr>
        <w:t>Payments, Exchange and Cancellation of Notes</w:t>
      </w:r>
      <w:r>
        <w:t>) hereto, whereupon the principal amount of Notes represented by this Temporary Global Note shall for all purposes be as most recently so entered; and</w:t>
      </w:r>
    </w:p>
    <w:p w14:paraId="1758003E" w14:textId="77777777" w:rsidR="007409E1" w:rsidRDefault="007409E1">
      <w:pPr>
        <w:pStyle w:val="ScheduleL3"/>
      </w:pPr>
      <w:r>
        <w:t>if the Final Terms specify that the New Global Note form is applicable, details of the exchange or cancellation shall be entered pro rata in the records of the ICSDs.</w:t>
      </w:r>
    </w:p>
    <w:p w14:paraId="260E0A24" w14:textId="77777777" w:rsidR="007409E1" w:rsidRDefault="007409E1">
      <w:pPr>
        <w:pStyle w:val="ScheduleL1"/>
        <w:keepNext/>
        <w:rPr>
          <w:b/>
        </w:rPr>
      </w:pPr>
      <w:r>
        <w:rPr>
          <w:b/>
        </w:rPr>
        <w:t>Payments</w:t>
      </w:r>
    </w:p>
    <w:p w14:paraId="03A7C2BA" w14:textId="77777777" w:rsidR="007409E1" w:rsidRDefault="007409E1">
      <w:pPr>
        <w:pStyle w:val="ScheduleL2"/>
        <w:keepNext/>
      </w:pPr>
      <w:r>
        <w:t>Recording of Payments</w:t>
      </w:r>
    </w:p>
    <w:p w14:paraId="55E5FD29" w14:textId="77777777" w:rsidR="007409E1" w:rsidRDefault="007409E1">
      <w:pPr>
        <w:pStyle w:val="BodyTextIndent3"/>
        <w:keepNext/>
      </w:pPr>
      <w:r>
        <w:t>Upon any payment being made in respect of the Notes represented by this Temporary Global Note, the Issuer shall procure that:</w:t>
      </w:r>
    </w:p>
    <w:p w14:paraId="732DF272" w14:textId="77777777" w:rsidR="007409E1" w:rsidRDefault="007409E1">
      <w:pPr>
        <w:pStyle w:val="ScheduleL3"/>
      </w:pPr>
      <w:r>
        <w:rPr>
          <w:i/>
        </w:rPr>
        <w:t>CGN</w:t>
      </w:r>
      <w:r>
        <w:t>: if the Final Terms specify that the New Global Note form is not applicable, details of such payment shall be entered in schedule 1 (</w:t>
      </w:r>
      <w:r>
        <w:rPr>
          <w:i/>
        </w:rPr>
        <w:t>Payments, Exchange and Cancellation of Notes</w:t>
      </w:r>
      <w:r>
        <w:t>) hereto and, in the case of any payment of principal, the principal amount of the Notes represented by this Temporary Global Note shall be reduced by the principal amount so paid; and</w:t>
      </w:r>
    </w:p>
    <w:p w14:paraId="44BAF67A" w14:textId="77777777" w:rsidR="007409E1" w:rsidRDefault="007409E1">
      <w:pPr>
        <w:pStyle w:val="ScheduleL3"/>
      </w:pPr>
      <w:r>
        <w:rPr>
          <w:i/>
        </w:rPr>
        <w:t>NGN</w:t>
      </w:r>
      <w:r>
        <w:t>: if the Final Terms specify that the New Global Note form is applicable, details of such payment shall be entered pro rata in the records of the ICSDs and, in the case of any payment of principal, the principal amount of the Notes entered in the records of ICSDs and represented by this Temporary Global Note shall be reduced by the principal amount so paid.</w:t>
      </w:r>
    </w:p>
    <w:p w14:paraId="538E71EC" w14:textId="77777777" w:rsidR="007409E1" w:rsidRDefault="007409E1">
      <w:pPr>
        <w:pStyle w:val="ScheduleL2"/>
        <w:keepNext/>
      </w:pPr>
      <w:r>
        <w:t>Discharge of Issuer's obligations</w:t>
      </w:r>
    </w:p>
    <w:p w14:paraId="1AB54F24" w14:textId="77777777" w:rsidR="007409E1" w:rsidRDefault="007409E1">
      <w:pPr>
        <w:pStyle w:val="BodyTextIndent3"/>
      </w:pPr>
      <w:r>
        <w:t>Payments due in respect of Notes for the time being represented by this Temporary Global Note shall be made to the bearer of this Temporary Global Note and each payment so made will discharge the Issuer's obligations in respect thereof.  Any failure to make the entries referred to above shall not affect such discharge.</w:t>
      </w:r>
    </w:p>
    <w:p w14:paraId="38A9DAD7" w14:textId="77777777" w:rsidR="007409E1" w:rsidRDefault="007409E1">
      <w:pPr>
        <w:pStyle w:val="ScheduleL1"/>
        <w:keepNext/>
        <w:rPr>
          <w:b/>
        </w:rPr>
      </w:pPr>
      <w:r>
        <w:rPr>
          <w:b/>
        </w:rPr>
        <w:t>Conditions apply</w:t>
      </w:r>
    </w:p>
    <w:p w14:paraId="673D3DE0" w14:textId="77777777" w:rsidR="007409E1" w:rsidRDefault="007409E1">
      <w:pPr>
        <w:pStyle w:val="BodyTextIndent"/>
      </w:pPr>
      <w:r>
        <w:t>Until this Temporary Global Note has been exchanged as provided herein or cancelled in accordance with the Agency Agreement, the bearer of this Temporary Global Note shall be subject to the Conditions and, subject as otherwise provided herein, shall be entitled to the same rights and benefits under the Conditions as if the bearer were the holder of Definitive Notes and any related Coupons and Talons in the smallest Specified Denomination and in an aggregate principal amount equal to the principal amount of the Notes represented by this Temporary Global Note.</w:t>
      </w:r>
    </w:p>
    <w:p w14:paraId="337B9710" w14:textId="77777777" w:rsidR="007409E1" w:rsidRDefault="007409E1">
      <w:pPr>
        <w:pStyle w:val="ScheduleL1"/>
        <w:keepNext/>
        <w:rPr>
          <w:b/>
        </w:rPr>
      </w:pPr>
      <w:r>
        <w:rPr>
          <w:b/>
        </w:rPr>
        <w:t>Notices</w:t>
      </w:r>
    </w:p>
    <w:p w14:paraId="275F0EBD" w14:textId="77777777" w:rsidR="007409E1" w:rsidRDefault="007409E1">
      <w:pPr>
        <w:pStyle w:val="BodyTextIndent"/>
      </w:pPr>
      <w:r>
        <w:t>Notwithstanding Condition 17 (</w:t>
      </w:r>
      <w:r>
        <w:rPr>
          <w:i/>
        </w:rPr>
        <w:t>Notices</w:t>
      </w:r>
      <w:r>
        <w:t>), while all the Notes are represented by this Temporary Global Note (or by this Temporary Global Note and the Permanent Global Note) and this Temporary Global Note is (or this Temporary Global Note and the Permanent Global Note are) deposited with a depositary or a common depositary for Euroclear and/or Clearstream, Luxembourg and/or any other relevant clearing system or a Common Safekeeper (which expression has the meaning given in the Agency Agreement), notices to Noteholders may be given by delivery of the relevant notice to Euroclear and/or Clearstream, Luxembourg and/or any other relevant clearing system and, in any case, such notices shall be deemed to have been given to the Noteholders in accordance with Condition 17 (</w:t>
      </w:r>
      <w:r>
        <w:rPr>
          <w:i/>
        </w:rPr>
        <w:t>Notices</w:t>
      </w:r>
      <w:r>
        <w:t>) on the date of delivery to Euroclear and/or Clearstream, Luxembourg and/or any other relevant clearing system, except that, for so long as such Notes are admitted to trading on the Irish Stock Exchange trading as Euronext Dublin ("</w:t>
      </w:r>
      <w:r>
        <w:rPr>
          <w:b/>
        </w:rPr>
        <w:t>Euronext Dublin</w:t>
      </w:r>
      <w:r>
        <w:t>") and it is a requirement of applicable law or regulations, such notices shall also be published in a leading newspaper having general circulation in Ireland (which is expected to be the Financial Times) or published on the website of Euronext Dublin (www.ise.ie).</w:t>
      </w:r>
    </w:p>
    <w:p w14:paraId="04C53EE8" w14:textId="77777777" w:rsidR="007409E1" w:rsidRDefault="007409E1">
      <w:pPr>
        <w:pStyle w:val="ScheduleL1"/>
        <w:keepNext/>
        <w:rPr>
          <w:b/>
        </w:rPr>
      </w:pPr>
      <w:r>
        <w:rPr>
          <w:b/>
        </w:rPr>
        <w:t>Authentication</w:t>
      </w:r>
    </w:p>
    <w:p w14:paraId="1E0B0062" w14:textId="77777777" w:rsidR="007409E1" w:rsidRDefault="007409E1">
      <w:pPr>
        <w:pStyle w:val="BodyTextIndent"/>
      </w:pPr>
      <w:r>
        <w:t>This Temporary Global Note shall not be valid for any purpose until it has been authenticated for and on behalf of BNP Paribas, Luxembourg Branch as fiscal agent.</w:t>
      </w:r>
    </w:p>
    <w:p w14:paraId="271A68A0" w14:textId="77777777" w:rsidR="007409E1" w:rsidRDefault="007409E1">
      <w:pPr>
        <w:pStyle w:val="ScheduleL1"/>
        <w:keepNext/>
        <w:rPr>
          <w:b/>
        </w:rPr>
      </w:pPr>
      <w:r>
        <w:rPr>
          <w:b/>
        </w:rPr>
        <w:t>Effectuation</w:t>
      </w:r>
    </w:p>
    <w:p w14:paraId="3B2C7E5E" w14:textId="77777777" w:rsidR="007409E1" w:rsidRDefault="007409E1">
      <w:pPr>
        <w:pStyle w:val="BodyTextIndent"/>
      </w:pPr>
      <w:r>
        <w:t>If the Final Terms specify that the New Global Note form is applicable, this Temporary Global Note shall not be valid for any purpose until it has been effectuated for and on behalf of the entity appointed as common safekeeper by the ICSDs.</w:t>
      </w:r>
    </w:p>
    <w:p w14:paraId="34F8B77D" w14:textId="77777777" w:rsidR="007409E1" w:rsidRDefault="007409E1">
      <w:pPr>
        <w:pStyle w:val="ScheduleL1"/>
        <w:keepNext/>
        <w:rPr>
          <w:b/>
        </w:rPr>
      </w:pPr>
      <w:r>
        <w:rPr>
          <w:b/>
        </w:rPr>
        <w:t>Governing Law</w:t>
      </w:r>
    </w:p>
    <w:p w14:paraId="44A3F9FF" w14:textId="77777777" w:rsidR="007409E1" w:rsidRDefault="007409E1">
      <w:pPr>
        <w:pStyle w:val="BodyTextIndent"/>
      </w:pPr>
      <w:r>
        <w:t xml:space="preserve">This Temporary Global Note and any non-contractual obligations arising out of or in connection with it are governed by and construed in accordance with </w:t>
      </w:r>
      <w:r w:rsidR="003201CA">
        <w:t>Spanish</w:t>
      </w:r>
      <w:r w:rsidRPr="00B606B1">
        <w:t xml:space="preserve"> law.</w:t>
      </w:r>
    </w:p>
    <w:p w14:paraId="61BA7F54" w14:textId="77777777" w:rsidR="007409E1" w:rsidRDefault="007409E1">
      <w:pPr>
        <w:pStyle w:val="MarginText"/>
        <w:tabs>
          <w:tab w:val="left" w:pos="1440"/>
        </w:tabs>
      </w:pPr>
      <w:r>
        <w:rPr>
          <w:b/>
        </w:rPr>
        <w:t>AS WITNESS</w:t>
      </w:r>
      <w:r>
        <w:t xml:space="preserve"> the [manual/facsimile] signature of a duly authorised person for and on behalf of the Issuer.</w:t>
      </w:r>
    </w:p>
    <w:p w14:paraId="4AB3B599" w14:textId="77777777" w:rsidR="007409E1" w:rsidRDefault="007409E1">
      <w:pPr>
        <w:pStyle w:val="MarginText"/>
        <w:tabs>
          <w:tab w:val="left" w:pos="1440"/>
        </w:tabs>
      </w:pPr>
    </w:p>
    <w:p w14:paraId="6B4A80A0" w14:textId="77777777" w:rsidR="007409E1" w:rsidRDefault="007409E1">
      <w:pPr>
        <w:pStyle w:val="MarginText"/>
        <w:keepNext/>
        <w:tabs>
          <w:tab w:val="left" w:pos="1440"/>
        </w:tabs>
        <w:rPr>
          <w:b/>
        </w:rPr>
      </w:pPr>
      <w:r>
        <w:rPr>
          <w:b/>
        </w:rPr>
        <w:t>ADIF-ALTA VELOCIDAD</w:t>
      </w:r>
    </w:p>
    <w:p w14:paraId="2435765C" w14:textId="77777777" w:rsidR="007409E1" w:rsidRDefault="007409E1">
      <w:pPr>
        <w:pStyle w:val="MarginText"/>
        <w:keepNext/>
        <w:tabs>
          <w:tab w:val="left" w:pos="1440"/>
        </w:tabs>
        <w:rPr>
          <w:b/>
        </w:rPr>
      </w:pPr>
    </w:p>
    <w:p w14:paraId="320A6131" w14:textId="77777777" w:rsidR="007409E1" w:rsidRDefault="007409E1">
      <w:pPr>
        <w:pStyle w:val="MarginText"/>
        <w:tabs>
          <w:tab w:val="left" w:pos="720"/>
        </w:tabs>
        <w:spacing w:after="0"/>
      </w:pPr>
      <w:r>
        <w:t xml:space="preserve">By: </w:t>
      </w:r>
      <w:r>
        <w:tab/>
        <w:t>…………………………………</w:t>
      </w:r>
    </w:p>
    <w:p w14:paraId="533F705D" w14:textId="77777777" w:rsidR="007409E1" w:rsidRDefault="007409E1">
      <w:pPr>
        <w:pStyle w:val="MarginText"/>
        <w:tabs>
          <w:tab w:val="left" w:pos="720"/>
        </w:tabs>
        <w:spacing w:after="0"/>
        <w:ind w:left="720"/>
      </w:pPr>
      <w:r>
        <w:t>[</w:t>
      </w:r>
      <w:r>
        <w:rPr>
          <w:i/>
        </w:rPr>
        <w:t>manual or facsimile signature</w:t>
      </w:r>
      <w:r>
        <w:t>]</w:t>
      </w:r>
    </w:p>
    <w:p w14:paraId="43C67847" w14:textId="77777777" w:rsidR="007409E1" w:rsidRDefault="007409E1">
      <w:pPr>
        <w:pStyle w:val="MarginText"/>
        <w:tabs>
          <w:tab w:val="left" w:pos="720"/>
        </w:tabs>
        <w:ind w:left="720"/>
      </w:pPr>
      <w:r>
        <w:t>(</w:t>
      </w:r>
      <w:r>
        <w:rPr>
          <w:i/>
        </w:rPr>
        <w:t>duly authorised</w:t>
      </w:r>
      <w:r>
        <w:t>)</w:t>
      </w:r>
    </w:p>
    <w:p w14:paraId="30010320" w14:textId="77777777" w:rsidR="007409E1" w:rsidRDefault="007409E1">
      <w:pPr>
        <w:pStyle w:val="MarginText"/>
        <w:tabs>
          <w:tab w:val="left" w:pos="720"/>
        </w:tabs>
      </w:pPr>
      <w:r>
        <w:rPr>
          <w:b/>
        </w:rPr>
        <w:t>ISSUED</w:t>
      </w:r>
      <w:r>
        <w:t xml:space="preserve"> on the Issue Date</w:t>
      </w:r>
    </w:p>
    <w:p w14:paraId="31E1B978" w14:textId="77777777" w:rsidR="007409E1" w:rsidRDefault="007409E1">
      <w:pPr>
        <w:pStyle w:val="MarginText"/>
        <w:keepNext/>
        <w:tabs>
          <w:tab w:val="left" w:pos="720"/>
        </w:tabs>
      </w:pPr>
      <w:r>
        <w:rPr>
          <w:b/>
        </w:rPr>
        <w:t>AUTHENTICATED</w:t>
      </w:r>
      <w:r>
        <w:t xml:space="preserve"> for and on behalf of</w:t>
      </w:r>
    </w:p>
    <w:p w14:paraId="3B94F813" w14:textId="77777777" w:rsidR="007409E1" w:rsidRDefault="007409E1">
      <w:pPr>
        <w:pStyle w:val="MarginText"/>
        <w:tabs>
          <w:tab w:val="left" w:pos="720"/>
        </w:tabs>
      </w:pPr>
      <w:r>
        <w:t>BNP Paribas, Luxembourg Branch as fiscal agent without recourse, warranty or liability</w:t>
      </w:r>
    </w:p>
    <w:p w14:paraId="5CFDD5AE" w14:textId="77777777" w:rsidR="007409E1" w:rsidRDefault="007409E1">
      <w:pPr>
        <w:pStyle w:val="MarginText"/>
        <w:tabs>
          <w:tab w:val="left" w:pos="720"/>
        </w:tabs>
        <w:spacing w:after="0"/>
      </w:pPr>
      <w:r>
        <w:t xml:space="preserve">By: </w:t>
      </w:r>
      <w:r>
        <w:tab/>
        <w:t>…………………………………</w:t>
      </w:r>
    </w:p>
    <w:p w14:paraId="10FB59D1" w14:textId="77777777" w:rsidR="007409E1" w:rsidRDefault="007409E1">
      <w:pPr>
        <w:pStyle w:val="MarginText"/>
        <w:tabs>
          <w:tab w:val="left" w:pos="720"/>
        </w:tabs>
        <w:spacing w:after="0"/>
        <w:ind w:left="720"/>
      </w:pPr>
      <w:r>
        <w:t>[</w:t>
      </w:r>
      <w:r>
        <w:rPr>
          <w:i/>
        </w:rPr>
        <w:t>manual or facsimile signature</w:t>
      </w:r>
      <w:r>
        <w:t>]</w:t>
      </w:r>
    </w:p>
    <w:p w14:paraId="15B16618" w14:textId="77777777" w:rsidR="007409E1" w:rsidRDefault="007409E1">
      <w:pPr>
        <w:pStyle w:val="MarginText"/>
        <w:tabs>
          <w:tab w:val="left" w:pos="720"/>
        </w:tabs>
        <w:ind w:left="720"/>
      </w:pPr>
      <w:r>
        <w:t>(</w:t>
      </w:r>
      <w:r>
        <w:rPr>
          <w:i/>
        </w:rPr>
        <w:t>duly authorised</w:t>
      </w:r>
      <w:r>
        <w:t>)</w:t>
      </w:r>
    </w:p>
    <w:p w14:paraId="51A65EEA" w14:textId="77777777" w:rsidR="007409E1" w:rsidRDefault="007409E1">
      <w:pPr>
        <w:pStyle w:val="MarginText"/>
        <w:tabs>
          <w:tab w:val="left" w:pos="720"/>
        </w:tabs>
      </w:pPr>
      <w:r>
        <w:rPr>
          <w:b/>
        </w:rPr>
        <w:t>EFFECTUATED</w:t>
      </w:r>
      <w:r>
        <w:t xml:space="preserve"> for and on behalf of</w:t>
      </w:r>
    </w:p>
    <w:p w14:paraId="769419AF" w14:textId="77777777" w:rsidR="007409E1" w:rsidRDefault="007409E1">
      <w:pPr>
        <w:pStyle w:val="MarginText"/>
        <w:tabs>
          <w:tab w:val="left" w:pos="720"/>
        </w:tabs>
      </w:pPr>
    </w:p>
    <w:p w14:paraId="2AAA573F" w14:textId="77777777" w:rsidR="007409E1" w:rsidRDefault="007409E1">
      <w:pPr>
        <w:pStyle w:val="MarginText"/>
        <w:tabs>
          <w:tab w:val="left" w:pos="720"/>
        </w:tabs>
        <w:spacing w:after="0"/>
      </w:pPr>
      <w:r>
        <w:t>……………………………………………</w:t>
      </w:r>
    </w:p>
    <w:p w14:paraId="63E1CB59" w14:textId="77777777" w:rsidR="007409E1" w:rsidRDefault="007409E1">
      <w:pPr>
        <w:pStyle w:val="MarginText"/>
        <w:tabs>
          <w:tab w:val="left" w:pos="720"/>
        </w:tabs>
      </w:pPr>
      <w:r>
        <w:t>as common safekeeper without recourse, warranty or liability</w:t>
      </w:r>
    </w:p>
    <w:p w14:paraId="68430FC3" w14:textId="77777777" w:rsidR="007409E1" w:rsidRDefault="007409E1">
      <w:pPr>
        <w:pStyle w:val="MarginText"/>
        <w:tabs>
          <w:tab w:val="left" w:pos="720"/>
        </w:tabs>
        <w:spacing w:after="0"/>
      </w:pPr>
      <w:r>
        <w:t xml:space="preserve">By: </w:t>
      </w:r>
      <w:r>
        <w:tab/>
        <w:t>…………………………………</w:t>
      </w:r>
    </w:p>
    <w:p w14:paraId="6FC0A466" w14:textId="77777777" w:rsidR="007409E1" w:rsidRDefault="007409E1">
      <w:pPr>
        <w:pStyle w:val="MarginText"/>
        <w:tabs>
          <w:tab w:val="left" w:pos="720"/>
        </w:tabs>
        <w:spacing w:after="0"/>
        <w:ind w:left="720"/>
      </w:pPr>
      <w:r>
        <w:t>[</w:t>
      </w:r>
      <w:r>
        <w:rPr>
          <w:i/>
        </w:rPr>
        <w:t>manual or facsimile signature</w:t>
      </w:r>
      <w:r>
        <w:t>]</w:t>
      </w:r>
    </w:p>
    <w:p w14:paraId="4C6FC0DC" w14:textId="77777777" w:rsidR="007409E1" w:rsidRDefault="007409E1">
      <w:pPr>
        <w:pStyle w:val="MarginText"/>
        <w:tabs>
          <w:tab w:val="left" w:pos="720"/>
        </w:tabs>
        <w:ind w:left="720"/>
      </w:pPr>
      <w:r>
        <w:t>(</w:t>
      </w:r>
      <w:r>
        <w:rPr>
          <w:i/>
        </w:rPr>
        <w:t>duly authorised</w:t>
      </w:r>
      <w:r>
        <w:t>)</w:t>
      </w:r>
    </w:p>
    <w:p w14:paraId="76468FA9" w14:textId="77777777" w:rsidR="007409E1" w:rsidRDefault="007409E1">
      <w:pPr>
        <w:pStyle w:val="MarginText"/>
        <w:tabs>
          <w:tab w:val="left" w:pos="1440"/>
        </w:tabs>
      </w:pPr>
    </w:p>
    <w:p w14:paraId="0C023B23" w14:textId="77777777" w:rsidR="007409E1" w:rsidRDefault="007409E1">
      <w:pPr>
        <w:pStyle w:val="MarginText"/>
        <w:keepNext/>
        <w:tabs>
          <w:tab w:val="left" w:pos="1440"/>
        </w:tabs>
        <w:jc w:val="center"/>
        <w:rPr>
          <w:b/>
        </w:rPr>
      </w:pPr>
      <w:r>
        <w:br w:type="page"/>
      </w:r>
      <w:r>
        <w:rPr>
          <w:b/>
        </w:rPr>
        <w:t>Schedule 1</w:t>
      </w:r>
      <w:r>
        <w:rPr>
          <w:rStyle w:val="FootnoteReference"/>
          <w:b/>
        </w:rPr>
        <w:footnoteReference w:id="4"/>
      </w:r>
    </w:p>
    <w:p w14:paraId="4CA36131" w14:textId="77777777" w:rsidR="007409E1" w:rsidRDefault="007409E1">
      <w:pPr>
        <w:pStyle w:val="MarginText"/>
        <w:keepNext/>
        <w:tabs>
          <w:tab w:val="left" w:pos="1440"/>
        </w:tabs>
        <w:jc w:val="center"/>
        <w:rPr>
          <w:b/>
        </w:rPr>
      </w:pPr>
      <w:r>
        <w:rPr>
          <w:b/>
        </w:rPr>
        <w:t>Payments, Exchange and Cancellation of Notes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0"/>
        <w:gridCol w:w="1541"/>
        <w:gridCol w:w="1541"/>
        <w:gridCol w:w="1541"/>
        <w:gridCol w:w="1541"/>
        <w:gridCol w:w="1541"/>
      </w:tblGrid>
      <w:tr w:rsidR="007409E1" w14:paraId="7FD5456C" w14:textId="77777777">
        <w:tc>
          <w:tcPr>
            <w:tcW w:w="1540" w:type="dxa"/>
            <w:shd w:val="clear" w:color="auto" w:fill="auto"/>
          </w:tcPr>
          <w:p w14:paraId="32D46679" w14:textId="77777777" w:rsidR="007409E1" w:rsidRDefault="007409E1">
            <w:pPr>
              <w:pStyle w:val="Table-Text"/>
              <w:overflowPunct w:val="0"/>
              <w:autoSpaceDE w:val="0"/>
              <w:autoSpaceDN w:val="0"/>
              <w:textAlignment w:val="baseline"/>
              <w:rPr>
                <w:b/>
                <w:sz w:val="20"/>
              </w:rPr>
            </w:pPr>
            <w:r>
              <w:rPr>
                <w:b/>
                <w:sz w:val="20"/>
              </w:rPr>
              <w:t>Date of payment, delivery or cancellation</w:t>
            </w:r>
          </w:p>
        </w:tc>
        <w:tc>
          <w:tcPr>
            <w:tcW w:w="1541" w:type="dxa"/>
            <w:shd w:val="clear" w:color="auto" w:fill="auto"/>
          </w:tcPr>
          <w:p w14:paraId="196C0959" w14:textId="77777777" w:rsidR="007409E1" w:rsidRDefault="007409E1">
            <w:pPr>
              <w:pStyle w:val="Table-Text"/>
              <w:overflowPunct w:val="0"/>
              <w:autoSpaceDE w:val="0"/>
              <w:autoSpaceDN w:val="0"/>
              <w:textAlignment w:val="baseline"/>
              <w:rPr>
                <w:b/>
                <w:sz w:val="20"/>
              </w:rPr>
            </w:pPr>
            <w:r>
              <w:rPr>
                <w:b/>
                <w:sz w:val="20"/>
              </w:rPr>
              <w:t>Amount of interest then paid</w:t>
            </w:r>
          </w:p>
        </w:tc>
        <w:tc>
          <w:tcPr>
            <w:tcW w:w="1541" w:type="dxa"/>
            <w:shd w:val="clear" w:color="auto" w:fill="auto"/>
          </w:tcPr>
          <w:p w14:paraId="60AF698E" w14:textId="77777777" w:rsidR="007409E1" w:rsidRDefault="007409E1">
            <w:pPr>
              <w:pStyle w:val="Table-Text"/>
              <w:overflowPunct w:val="0"/>
              <w:autoSpaceDE w:val="0"/>
              <w:autoSpaceDN w:val="0"/>
              <w:textAlignment w:val="baseline"/>
              <w:rPr>
                <w:b/>
                <w:sz w:val="20"/>
              </w:rPr>
            </w:pPr>
            <w:r>
              <w:rPr>
                <w:b/>
                <w:sz w:val="20"/>
              </w:rPr>
              <w:t>Principal amount of Permanent Global Note then delivered or by which Permanent Global Note then increased or aggregate principal amount of Definitive Notes then delivered</w:t>
            </w:r>
          </w:p>
        </w:tc>
        <w:tc>
          <w:tcPr>
            <w:tcW w:w="1541" w:type="dxa"/>
            <w:shd w:val="clear" w:color="auto" w:fill="auto"/>
          </w:tcPr>
          <w:p w14:paraId="44715EB4" w14:textId="77777777" w:rsidR="007409E1" w:rsidRDefault="007409E1">
            <w:pPr>
              <w:pStyle w:val="Table-Text"/>
              <w:overflowPunct w:val="0"/>
              <w:autoSpaceDE w:val="0"/>
              <w:autoSpaceDN w:val="0"/>
              <w:textAlignment w:val="baseline"/>
              <w:rPr>
                <w:b/>
                <w:sz w:val="20"/>
              </w:rPr>
            </w:pPr>
            <w:r>
              <w:rPr>
                <w:b/>
                <w:sz w:val="20"/>
              </w:rPr>
              <w:t>Aggregate principal amount of Notes then cancelled</w:t>
            </w:r>
          </w:p>
        </w:tc>
        <w:tc>
          <w:tcPr>
            <w:tcW w:w="1541" w:type="dxa"/>
            <w:shd w:val="clear" w:color="auto" w:fill="auto"/>
          </w:tcPr>
          <w:p w14:paraId="4C4AEB5E" w14:textId="77777777" w:rsidR="007409E1" w:rsidRDefault="007409E1">
            <w:pPr>
              <w:pStyle w:val="Table-Text"/>
              <w:overflowPunct w:val="0"/>
              <w:autoSpaceDE w:val="0"/>
              <w:autoSpaceDN w:val="0"/>
              <w:textAlignment w:val="baseline"/>
              <w:rPr>
                <w:b/>
                <w:sz w:val="20"/>
              </w:rPr>
            </w:pPr>
            <w:r>
              <w:rPr>
                <w:b/>
                <w:sz w:val="20"/>
              </w:rPr>
              <w:t>Remaining principal amount of this Temporary Global Note</w:t>
            </w:r>
          </w:p>
        </w:tc>
        <w:tc>
          <w:tcPr>
            <w:tcW w:w="1541" w:type="dxa"/>
            <w:shd w:val="clear" w:color="auto" w:fill="auto"/>
          </w:tcPr>
          <w:p w14:paraId="71345607" w14:textId="77777777" w:rsidR="007409E1" w:rsidRDefault="007409E1">
            <w:pPr>
              <w:pStyle w:val="Table-Text"/>
              <w:overflowPunct w:val="0"/>
              <w:autoSpaceDE w:val="0"/>
              <w:autoSpaceDN w:val="0"/>
              <w:textAlignment w:val="baseline"/>
              <w:rPr>
                <w:b/>
                <w:sz w:val="20"/>
              </w:rPr>
            </w:pPr>
            <w:r>
              <w:rPr>
                <w:b/>
                <w:sz w:val="20"/>
              </w:rPr>
              <w:t>Authorised Signature</w:t>
            </w:r>
          </w:p>
        </w:tc>
      </w:tr>
      <w:tr w:rsidR="007409E1" w14:paraId="160D8D71" w14:textId="77777777">
        <w:tc>
          <w:tcPr>
            <w:tcW w:w="1540" w:type="dxa"/>
            <w:shd w:val="clear" w:color="auto" w:fill="auto"/>
          </w:tcPr>
          <w:p w14:paraId="33D53C3E" w14:textId="77777777" w:rsidR="007409E1" w:rsidRDefault="007409E1">
            <w:pPr>
              <w:pStyle w:val="Table-Text"/>
              <w:overflowPunct w:val="0"/>
              <w:autoSpaceDE w:val="0"/>
              <w:autoSpaceDN w:val="0"/>
              <w:textAlignment w:val="baseline"/>
              <w:rPr>
                <w:sz w:val="20"/>
              </w:rPr>
            </w:pPr>
          </w:p>
        </w:tc>
        <w:tc>
          <w:tcPr>
            <w:tcW w:w="1541" w:type="dxa"/>
            <w:shd w:val="clear" w:color="auto" w:fill="auto"/>
          </w:tcPr>
          <w:p w14:paraId="1674E1AE" w14:textId="77777777" w:rsidR="007409E1" w:rsidRDefault="007409E1">
            <w:pPr>
              <w:pStyle w:val="Table-Text"/>
              <w:overflowPunct w:val="0"/>
              <w:autoSpaceDE w:val="0"/>
              <w:autoSpaceDN w:val="0"/>
              <w:textAlignment w:val="baseline"/>
              <w:rPr>
                <w:sz w:val="20"/>
              </w:rPr>
            </w:pPr>
          </w:p>
        </w:tc>
        <w:tc>
          <w:tcPr>
            <w:tcW w:w="1541" w:type="dxa"/>
            <w:shd w:val="clear" w:color="auto" w:fill="auto"/>
          </w:tcPr>
          <w:p w14:paraId="1D028ACF" w14:textId="77777777" w:rsidR="007409E1" w:rsidRDefault="007409E1">
            <w:pPr>
              <w:pStyle w:val="Table-Text"/>
              <w:overflowPunct w:val="0"/>
              <w:autoSpaceDE w:val="0"/>
              <w:autoSpaceDN w:val="0"/>
              <w:textAlignment w:val="baseline"/>
              <w:rPr>
                <w:sz w:val="20"/>
              </w:rPr>
            </w:pPr>
          </w:p>
        </w:tc>
        <w:tc>
          <w:tcPr>
            <w:tcW w:w="1541" w:type="dxa"/>
            <w:shd w:val="clear" w:color="auto" w:fill="auto"/>
          </w:tcPr>
          <w:p w14:paraId="0593DC54" w14:textId="77777777" w:rsidR="007409E1" w:rsidRDefault="007409E1">
            <w:pPr>
              <w:pStyle w:val="Table-Text"/>
              <w:overflowPunct w:val="0"/>
              <w:autoSpaceDE w:val="0"/>
              <w:autoSpaceDN w:val="0"/>
              <w:textAlignment w:val="baseline"/>
              <w:rPr>
                <w:sz w:val="20"/>
              </w:rPr>
            </w:pPr>
          </w:p>
        </w:tc>
        <w:tc>
          <w:tcPr>
            <w:tcW w:w="1541" w:type="dxa"/>
            <w:shd w:val="clear" w:color="auto" w:fill="auto"/>
          </w:tcPr>
          <w:p w14:paraId="14782DAD" w14:textId="77777777" w:rsidR="007409E1" w:rsidRDefault="007409E1">
            <w:pPr>
              <w:pStyle w:val="Table-Text"/>
              <w:overflowPunct w:val="0"/>
              <w:autoSpaceDE w:val="0"/>
              <w:autoSpaceDN w:val="0"/>
              <w:textAlignment w:val="baseline"/>
              <w:rPr>
                <w:sz w:val="20"/>
              </w:rPr>
            </w:pPr>
          </w:p>
        </w:tc>
        <w:tc>
          <w:tcPr>
            <w:tcW w:w="1541" w:type="dxa"/>
            <w:shd w:val="clear" w:color="auto" w:fill="auto"/>
          </w:tcPr>
          <w:p w14:paraId="617D114C" w14:textId="77777777" w:rsidR="007409E1" w:rsidRDefault="007409E1">
            <w:pPr>
              <w:pStyle w:val="Table-Text"/>
              <w:overflowPunct w:val="0"/>
              <w:autoSpaceDE w:val="0"/>
              <w:autoSpaceDN w:val="0"/>
              <w:textAlignment w:val="baseline"/>
              <w:rPr>
                <w:sz w:val="20"/>
              </w:rPr>
            </w:pPr>
          </w:p>
        </w:tc>
      </w:tr>
      <w:tr w:rsidR="007409E1" w14:paraId="5EFEB8CC" w14:textId="77777777">
        <w:tc>
          <w:tcPr>
            <w:tcW w:w="1540" w:type="dxa"/>
            <w:shd w:val="clear" w:color="auto" w:fill="auto"/>
          </w:tcPr>
          <w:p w14:paraId="20F7F30E" w14:textId="77777777" w:rsidR="007409E1" w:rsidRDefault="007409E1">
            <w:pPr>
              <w:pStyle w:val="Table-Text"/>
              <w:overflowPunct w:val="0"/>
              <w:autoSpaceDE w:val="0"/>
              <w:autoSpaceDN w:val="0"/>
              <w:textAlignment w:val="baseline"/>
              <w:rPr>
                <w:sz w:val="20"/>
              </w:rPr>
            </w:pPr>
          </w:p>
        </w:tc>
        <w:tc>
          <w:tcPr>
            <w:tcW w:w="1541" w:type="dxa"/>
            <w:shd w:val="clear" w:color="auto" w:fill="auto"/>
          </w:tcPr>
          <w:p w14:paraId="6334331B" w14:textId="77777777" w:rsidR="007409E1" w:rsidRDefault="007409E1">
            <w:pPr>
              <w:pStyle w:val="Table-Text"/>
              <w:overflowPunct w:val="0"/>
              <w:autoSpaceDE w:val="0"/>
              <w:autoSpaceDN w:val="0"/>
              <w:textAlignment w:val="baseline"/>
              <w:rPr>
                <w:sz w:val="20"/>
              </w:rPr>
            </w:pPr>
          </w:p>
        </w:tc>
        <w:tc>
          <w:tcPr>
            <w:tcW w:w="1541" w:type="dxa"/>
            <w:shd w:val="clear" w:color="auto" w:fill="auto"/>
          </w:tcPr>
          <w:p w14:paraId="64997689" w14:textId="77777777" w:rsidR="007409E1" w:rsidRDefault="007409E1">
            <w:pPr>
              <w:pStyle w:val="Table-Text"/>
              <w:overflowPunct w:val="0"/>
              <w:autoSpaceDE w:val="0"/>
              <w:autoSpaceDN w:val="0"/>
              <w:textAlignment w:val="baseline"/>
              <w:rPr>
                <w:sz w:val="20"/>
              </w:rPr>
            </w:pPr>
          </w:p>
        </w:tc>
        <w:tc>
          <w:tcPr>
            <w:tcW w:w="1541" w:type="dxa"/>
            <w:shd w:val="clear" w:color="auto" w:fill="auto"/>
          </w:tcPr>
          <w:p w14:paraId="6E655CE7" w14:textId="77777777" w:rsidR="007409E1" w:rsidRDefault="007409E1">
            <w:pPr>
              <w:pStyle w:val="Table-Text"/>
              <w:overflowPunct w:val="0"/>
              <w:autoSpaceDE w:val="0"/>
              <w:autoSpaceDN w:val="0"/>
              <w:textAlignment w:val="baseline"/>
              <w:rPr>
                <w:sz w:val="20"/>
              </w:rPr>
            </w:pPr>
          </w:p>
        </w:tc>
        <w:tc>
          <w:tcPr>
            <w:tcW w:w="1541" w:type="dxa"/>
            <w:shd w:val="clear" w:color="auto" w:fill="auto"/>
          </w:tcPr>
          <w:p w14:paraId="41AA02C7" w14:textId="77777777" w:rsidR="007409E1" w:rsidRDefault="007409E1">
            <w:pPr>
              <w:pStyle w:val="Table-Text"/>
              <w:overflowPunct w:val="0"/>
              <w:autoSpaceDE w:val="0"/>
              <w:autoSpaceDN w:val="0"/>
              <w:textAlignment w:val="baseline"/>
              <w:rPr>
                <w:sz w:val="20"/>
              </w:rPr>
            </w:pPr>
          </w:p>
        </w:tc>
        <w:tc>
          <w:tcPr>
            <w:tcW w:w="1541" w:type="dxa"/>
            <w:shd w:val="clear" w:color="auto" w:fill="auto"/>
          </w:tcPr>
          <w:p w14:paraId="323965AF" w14:textId="77777777" w:rsidR="007409E1" w:rsidRDefault="007409E1">
            <w:pPr>
              <w:pStyle w:val="Table-Text"/>
              <w:overflowPunct w:val="0"/>
              <w:autoSpaceDE w:val="0"/>
              <w:autoSpaceDN w:val="0"/>
              <w:textAlignment w:val="baseline"/>
              <w:rPr>
                <w:sz w:val="20"/>
              </w:rPr>
            </w:pPr>
          </w:p>
        </w:tc>
      </w:tr>
      <w:tr w:rsidR="007409E1" w14:paraId="0D36FBC3" w14:textId="77777777">
        <w:tc>
          <w:tcPr>
            <w:tcW w:w="1540" w:type="dxa"/>
            <w:shd w:val="clear" w:color="auto" w:fill="auto"/>
          </w:tcPr>
          <w:p w14:paraId="6D045C39" w14:textId="77777777" w:rsidR="007409E1" w:rsidRDefault="007409E1">
            <w:pPr>
              <w:pStyle w:val="Table-Text"/>
              <w:overflowPunct w:val="0"/>
              <w:autoSpaceDE w:val="0"/>
              <w:autoSpaceDN w:val="0"/>
              <w:textAlignment w:val="baseline"/>
              <w:rPr>
                <w:sz w:val="20"/>
              </w:rPr>
            </w:pPr>
          </w:p>
        </w:tc>
        <w:tc>
          <w:tcPr>
            <w:tcW w:w="1541" w:type="dxa"/>
            <w:shd w:val="clear" w:color="auto" w:fill="auto"/>
          </w:tcPr>
          <w:p w14:paraId="5B52E90C" w14:textId="77777777" w:rsidR="007409E1" w:rsidRDefault="007409E1">
            <w:pPr>
              <w:pStyle w:val="Table-Text"/>
              <w:overflowPunct w:val="0"/>
              <w:autoSpaceDE w:val="0"/>
              <w:autoSpaceDN w:val="0"/>
              <w:textAlignment w:val="baseline"/>
              <w:rPr>
                <w:sz w:val="20"/>
              </w:rPr>
            </w:pPr>
          </w:p>
        </w:tc>
        <w:tc>
          <w:tcPr>
            <w:tcW w:w="1541" w:type="dxa"/>
            <w:shd w:val="clear" w:color="auto" w:fill="auto"/>
          </w:tcPr>
          <w:p w14:paraId="16C35265" w14:textId="77777777" w:rsidR="007409E1" w:rsidRDefault="007409E1">
            <w:pPr>
              <w:pStyle w:val="Table-Text"/>
              <w:overflowPunct w:val="0"/>
              <w:autoSpaceDE w:val="0"/>
              <w:autoSpaceDN w:val="0"/>
              <w:textAlignment w:val="baseline"/>
              <w:rPr>
                <w:sz w:val="20"/>
              </w:rPr>
            </w:pPr>
          </w:p>
        </w:tc>
        <w:tc>
          <w:tcPr>
            <w:tcW w:w="1541" w:type="dxa"/>
            <w:shd w:val="clear" w:color="auto" w:fill="auto"/>
          </w:tcPr>
          <w:p w14:paraId="5E3CA8C8" w14:textId="77777777" w:rsidR="007409E1" w:rsidRDefault="007409E1">
            <w:pPr>
              <w:pStyle w:val="Table-Text"/>
              <w:overflowPunct w:val="0"/>
              <w:autoSpaceDE w:val="0"/>
              <w:autoSpaceDN w:val="0"/>
              <w:textAlignment w:val="baseline"/>
              <w:rPr>
                <w:sz w:val="20"/>
              </w:rPr>
            </w:pPr>
          </w:p>
        </w:tc>
        <w:tc>
          <w:tcPr>
            <w:tcW w:w="1541" w:type="dxa"/>
            <w:shd w:val="clear" w:color="auto" w:fill="auto"/>
          </w:tcPr>
          <w:p w14:paraId="5823F46B" w14:textId="77777777" w:rsidR="007409E1" w:rsidRDefault="007409E1">
            <w:pPr>
              <w:pStyle w:val="Table-Text"/>
              <w:overflowPunct w:val="0"/>
              <w:autoSpaceDE w:val="0"/>
              <w:autoSpaceDN w:val="0"/>
              <w:textAlignment w:val="baseline"/>
              <w:rPr>
                <w:sz w:val="20"/>
              </w:rPr>
            </w:pPr>
          </w:p>
        </w:tc>
        <w:tc>
          <w:tcPr>
            <w:tcW w:w="1541" w:type="dxa"/>
            <w:shd w:val="clear" w:color="auto" w:fill="auto"/>
          </w:tcPr>
          <w:p w14:paraId="76649F0F" w14:textId="77777777" w:rsidR="007409E1" w:rsidRDefault="007409E1">
            <w:pPr>
              <w:pStyle w:val="Table-Text"/>
              <w:overflowPunct w:val="0"/>
              <w:autoSpaceDE w:val="0"/>
              <w:autoSpaceDN w:val="0"/>
              <w:textAlignment w:val="baseline"/>
              <w:rPr>
                <w:sz w:val="20"/>
              </w:rPr>
            </w:pPr>
          </w:p>
        </w:tc>
      </w:tr>
      <w:tr w:rsidR="007409E1" w14:paraId="0083D98A" w14:textId="77777777">
        <w:tc>
          <w:tcPr>
            <w:tcW w:w="1540" w:type="dxa"/>
            <w:shd w:val="clear" w:color="auto" w:fill="auto"/>
          </w:tcPr>
          <w:p w14:paraId="11651E51" w14:textId="77777777" w:rsidR="007409E1" w:rsidRDefault="007409E1">
            <w:pPr>
              <w:pStyle w:val="Table-Text"/>
              <w:overflowPunct w:val="0"/>
              <w:autoSpaceDE w:val="0"/>
              <w:autoSpaceDN w:val="0"/>
              <w:textAlignment w:val="baseline"/>
              <w:rPr>
                <w:sz w:val="20"/>
              </w:rPr>
            </w:pPr>
          </w:p>
        </w:tc>
        <w:tc>
          <w:tcPr>
            <w:tcW w:w="1541" w:type="dxa"/>
            <w:shd w:val="clear" w:color="auto" w:fill="auto"/>
          </w:tcPr>
          <w:p w14:paraId="6F48BEEC" w14:textId="77777777" w:rsidR="007409E1" w:rsidRDefault="007409E1">
            <w:pPr>
              <w:pStyle w:val="Table-Text"/>
              <w:overflowPunct w:val="0"/>
              <w:autoSpaceDE w:val="0"/>
              <w:autoSpaceDN w:val="0"/>
              <w:textAlignment w:val="baseline"/>
              <w:rPr>
                <w:sz w:val="20"/>
              </w:rPr>
            </w:pPr>
          </w:p>
        </w:tc>
        <w:tc>
          <w:tcPr>
            <w:tcW w:w="1541" w:type="dxa"/>
            <w:shd w:val="clear" w:color="auto" w:fill="auto"/>
          </w:tcPr>
          <w:p w14:paraId="54D15819" w14:textId="77777777" w:rsidR="007409E1" w:rsidRDefault="007409E1">
            <w:pPr>
              <w:pStyle w:val="Table-Text"/>
              <w:overflowPunct w:val="0"/>
              <w:autoSpaceDE w:val="0"/>
              <w:autoSpaceDN w:val="0"/>
              <w:textAlignment w:val="baseline"/>
              <w:rPr>
                <w:sz w:val="20"/>
              </w:rPr>
            </w:pPr>
          </w:p>
        </w:tc>
        <w:tc>
          <w:tcPr>
            <w:tcW w:w="1541" w:type="dxa"/>
            <w:shd w:val="clear" w:color="auto" w:fill="auto"/>
          </w:tcPr>
          <w:p w14:paraId="7E2D945D" w14:textId="77777777" w:rsidR="007409E1" w:rsidRDefault="007409E1">
            <w:pPr>
              <w:pStyle w:val="Table-Text"/>
              <w:overflowPunct w:val="0"/>
              <w:autoSpaceDE w:val="0"/>
              <w:autoSpaceDN w:val="0"/>
              <w:textAlignment w:val="baseline"/>
              <w:rPr>
                <w:sz w:val="20"/>
              </w:rPr>
            </w:pPr>
          </w:p>
        </w:tc>
        <w:tc>
          <w:tcPr>
            <w:tcW w:w="1541" w:type="dxa"/>
            <w:shd w:val="clear" w:color="auto" w:fill="auto"/>
          </w:tcPr>
          <w:p w14:paraId="35A1B975" w14:textId="77777777" w:rsidR="007409E1" w:rsidRDefault="007409E1">
            <w:pPr>
              <w:pStyle w:val="Table-Text"/>
              <w:overflowPunct w:val="0"/>
              <w:autoSpaceDE w:val="0"/>
              <w:autoSpaceDN w:val="0"/>
              <w:textAlignment w:val="baseline"/>
              <w:rPr>
                <w:sz w:val="20"/>
              </w:rPr>
            </w:pPr>
          </w:p>
        </w:tc>
        <w:tc>
          <w:tcPr>
            <w:tcW w:w="1541" w:type="dxa"/>
            <w:shd w:val="clear" w:color="auto" w:fill="auto"/>
          </w:tcPr>
          <w:p w14:paraId="18549925" w14:textId="77777777" w:rsidR="007409E1" w:rsidRDefault="007409E1">
            <w:pPr>
              <w:pStyle w:val="Table-Text"/>
              <w:overflowPunct w:val="0"/>
              <w:autoSpaceDE w:val="0"/>
              <w:autoSpaceDN w:val="0"/>
              <w:textAlignment w:val="baseline"/>
              <w:rPr>
                <w:sz w:val="20"/>
              </w:rPr>
            </w:pPr>
          </w:p>
        </w:tc>
      </w:tr>
      <w:tr w:rsidR="007409E1" w14:paraId="0DA4DF6B" w14:textId="77777777">
        <w:tc>
          <w:tcPr>
            <w:tcW w:w="1540" w:type="dxa"/>
            <w:shd w:val="clear" w:color="auto" w:fill="auto"/>
          </w:tcPr>
          <w:p w14:paraId="5D3D4658" w14:textId="77777777" w:rsidR="007409E1" w:rsidRDefault="007409E1">
            <w:pPr>
              <w:pStyle w:val="Table-Text"/>
              <w:overflowPunct w:val="0"/>
              <w:autoSpaceDE w:val="0"/>
              <w:autoSpaceDN w:val="0"/>
              <w:textAlignment w:val="baseline"/>
              <w:rPr>
                <w:sz w:val="20"/>
              </w:rPr>
            </w:pPr>
          </w:p>
        </w:tc>
        <w:tc>
          <w:tcPr>
            <w:tcW w:w="1541" w:type="dxa"/>
            <w:shd w:val="clear" w:color="auto" w:fill="auto"/>
          </w:tcPr>
          <w:p w14:paraId="12C07531" w14:textId="77777777" w:rsidR="007409E1" w:rsidRDefault="007409E1">
            <w:pPr>
              <w:pStyle w:val="Table-Text"/>
              <w:overflowPunct w:val="0"/>
              <w:autoSpaceDE w:val="0"/>
              <w:autoSpaceDN w:val="0"/>
              <w:textAlignment w:val="baseline"/>
              <w:rPr>
                <w:sz w:val="20"/>
              </w:rPr>
            </w:pPr>
          </w:p>
        </w:tc>
        <w:tc>
          <w:tcPr>
            <w:tcW w:w="1541" w:type="dxa"/>
            <w:shd w:val="clear" w:color="auto" w:fill="auto"/>
          </w:tcPr>
          <w:p w14:paraId="7C5C81DC" w14:textId="77777777" w:rsidR="007409E1" w:rsidRDefault="007409E1">
            <w:pPr>
              <w:pStyle w:val="Table-Text"/>
              <w:overflowPunct w:val="0"/>
              <w:autoSpaceDE w:val="0"/>
              <w:autoSpaceDN w:val="0"/>
              <w:textAlignment w:val="baseline"/>
              <w:rPr>
                <w:sz w:val="20"/>
              </w:rPr>
            </w:pPr>
          </w:p>
        </w:tc>
        <w:tc>
          <w:tcPr>
            <w:tcW w:w="1541" w:type="dxa"/>
            <w:shd w:val="clear" w:color="auto" w:fill="auto"/>
          </w:tcPr>
          <w:p w14:paraId="03EEC372" w14:textId="77777777" w:rsidR="007409E1" w:rsidRDefault="007409E1">
            <w:pPr>
              <w:pStyle w:val="Table-Text"/>
              <w:overflowPunct w:val="0"/>
              <w:autoSpaceDE w:val="0"/>
              <w:autoSpaceDN w:val="0"/>
              <w:textAlignment w:val="baseline"/>
              <w:rPr>
                <w:sz w:val="20"/>
              </w:rPr>
            </w:pPr>
          </w:p>
        </w:tc>
        <w:tc>
          <w:tcPr>
            <w:tcW w:w="1541" w:type="dxa"/>
            <w:shd w:val="clear" w:color="auto" w:fill="auto"/>
          </w:tcPr>
          <w:p w14:paraId="79CC9CE4" w14:textId="77777777" w:rsidR="007409E1" w:rsidRDefault="007409E1">
            <w:pPr>
              <w:pStyle w:val="Table-Text"/>
              <w:overflowPunct w:val="0"/>
              <w:autoSpaceDE w:val="0"/>
              <w:autoSpaceDN w:val="0"/>
              <w:textAlignment w:val="baseline"/>
              <w:rPr>
                <w:sz w:val="20"/>
              </w:rPr>
            </w:pPr>
          </w:p>
        </w:tc>
        <w:tc>
          <w:tcPr>
            <w:tcW w:w="1541" w:type="dxa"/>
            <w:shd w:val="clear" w:color="auto" w:fill="auto"/>
          </w:tcPr>
          <w:p w14:paraId="39ABC4AC" w14:textId="77777777" w:rsidR="007409E1" w:rsidRDefault="007409E1">
            <w:pPr>
              <w:pStyle w:val="Table-Text"/>
              <w:overflowPunct w:val="0"/>
              <w:autoSpaceDE w:val="0"/>
              <w:autoSpaceDN w:val="0"/>
              <w:textAlignment w:val="baseline"/>
              <w:rPr>
                <w:sz w:val="20"/>
              </w:rPr>
            </w:pPr>
          </w:p>
        </w:tc>
      </w:tr>
      <w:tr w:rsidR="007409E1" w14:paraId="2F8B2DD6" w14:textId="77777777">
        <w:tc>
          <w:tcPr>
            <w:tcW w:w="1540" w:type="dxa"/>
            <w:shd w:val="clear" w:color="auto" w:fill="auto"/>
          </w:tcPr>
          <w:p w14:paraId="091BB2B0" w14:textId="77777777" w:rsidR="007409E1" w:rsidRDefault="007409E1">
            <w:pPr>
              <w:pStyle w:val="Table-Text"/>
              <w:overflowPunct w:val="0"/>
              <w:autoSpaceDE w:val="0"/>
              <w:autoSpaceDN w:val="0"/>
              <w:textAlignment w:val="baseline"/>
              <w:rPr>
                <w:sz w:val="20"/>
              </w:rPr>
            </w:pPr>
          </w:p>
        </w:tc>
        <w:tc>
          <w:tcPr>
            <w:tcW w:w="1541" w:type="dxa"/>
            <w:shd w:val="clear" w:color="auto" w:fill="auto"/>
          </w:tcPr>
          <w:p w14:paraId="06A2C0DD" w14:textId="77777777" w:rsidR="007409E1" w:rsidRDefault="007409E1">
            <w:pPr>
              <w:pStyle w:val="Table-Text"/>
              <w:overflowPunct w:val="0"/>
              <w:autoSpaceDE w:val="0"/>
              <w:autoSpaceDN w:val="0"/>
              <w:textAlignment w:val="baseline"/>
              <w:rPr>
                <w:sz w:val="20"/>
              </w:rPr>
            </w:pPr>
          </w:p>
        </w:tc>
        <w:tc>
          <w:tcPr>
            <w:tcW w:w="1541" w:type="dxa"/>
            <w:shd w:val="clear" w:color="auto" w:fill="auto"/>
          </w:tcPr>
          <w:p w14:paraId="2CCD973B" w14:textId="77777777" w:rsidR="007409E1" w:rsidRDefault="007409E1">
            <w:pPr>
              <w:pStyle w:val="Table-Text"/>
              <w:overflowPunct w:val="0"/>
              <w:autoSpaceDE w:val="0"/>
              <w:autoSpaceDN w:val="0"/>
              <w:textAlignment w:val="baseline"/>
              <w:rPr>
                <w:sz w:val="20"/>
              </w:rPr>
            </w:pPr>
          </w:p>
        </w:tc>
        <w:tc>
          <w:tcPr>
            <w:tcW w:w="1541" w:type="dxa"/>
            <w:shd w:val="clear" w:color="auto" w:fill="auto"/>
          </w:tcPr>
          <w:p w14:paraId="662F8E12" w14:textId="77777777" w:rsidR="007409E1" w:rsidRDefault="007409E1">
            <w:pPr>
              <w:pStyle w:val="Table-Text"/>
              <w:overflowPunct w:val="0"/>
              <w:autoSpaceDE w:val="0"/>
              <w:autoSpaceDN w:val="0"/>
              <w:textAlignment w:val="baseline"/>
              <w:rPr>
                <w:sz w:val="20"/>
              </w:rPr>
            </w:pPr>
          </w:p>
        </w:tc>
        <w:tc>
          <w:tcPr>
            <w:tcW w:w="1541" w:type="dxa"/>
            <w:shd w:val="clear" w:color="auto" w:fill="auto"/>
          </w:tcPr>
          <w:p w14:paraId="496A27FF" w14:textId="77777777" w:rsidR="007409E1" w:rsidRDefault="007409E1">
            <w:pPr>
              <w:pStyle w:val="Table-Text"/>
              <w:overflowPunct w:val="0"/>
              <w:autoSpaceDE w:val="0"/>
              <w:autoSpaceDN w:val="0"/>
              <w:textAlignment w:val="baseline"/>
              <w:rPr>
                <w:sz w:val="20"/>
              </w:rPr>
            </w:pPr>
          </w:p>
        </w:tc>
        <w:tc>
          <w:tcPr>
            <w:tcW w:w="1541" w:type="dxa"/>
            <w:shd w:val="clear" w:color="auto" w:fill="auto"/>
          </w:tcPr>
          <w:p w14:paraId="088D4B37" w14:textId="77777777" w:rsidR="007409E1" w:rsidRDefault="007409E1">
            <w:pPr>
              <w:pStyle w:val="Table-Text"/>
              <w:overflowPunct w:val="0"/>
              <w:autoSpaceDE w:val="0"/>
              <w:autoSpaceDN w:val="0"/>
              <w:textAlignment w:val="baseline"/>
              <w:rPr>
                <w:sz w:val="20"/>
              </w:rPr>
            </w:pPr>
          </w:p>
        </w:tc>
      </w:tr>
      <w:tr w:rsidR="007409E1" w14:paraId="68AA9DB1" w14:textId="77777777">
        <w:tc>
          <w:tcPr>
            <w:tcW w:w="1540" w:type="dxa"/>
            <w:shd w:val="clear" w:color="auto" w:fill="auto"/>
          </w:tcPr>
          <w:p w14:paraId="096A2EB5" w14:textId="77777777" w:rsidR="007409E1" w:rsidRDefault="007409E1">
            <w:pPr>
              <w:pStyle w:val="Table-Text"/>
              <w:overflowPunct w:val="0"/>
              <w:autoSpaceDE w:val="0"/>
              <w:autoSpaceDN w:val="0"/>
              <w:textAlignment w:val="baseline"/>
              <w:rPr>
                <w:sz w:val="20"/>
              </w:rPr>
            </w:pPr>
          </w:p>
        </w:tc>
        <w:tc>
          <w:tcPr>
            <w:tcW w:w="1541" w:type="dxa"/>
            <w:shd w:val="clear" w:color="auto" w:fill="auto"/>
          </w:tcPr>
          <w:p w14:paraId="498E7F90" w14:textId="77777777" w:rsidR="007409E1" w:rsidRDefault="007409E1">
            <w:pPr>
              <w:pStyle w:val="Table-Text"/>
              <w:overflowPunct w:val="0"/>
              <w:autoSpaceDE w:val="0"/>
              <w:autoSpaceDN w:val="0"/>
              <w:textAlignment w:val="baseline"/>
              <w:rPr>
                <w:sz w:val="20"/>
              </w:rPr>
            </w:pPr>
          </w:p>
        </w:tc>
        <w:tc>
          <w:tcPr>
            <w:tcW w:w="1541" w:type="dxa"/>
            <w:shd w:val="clear" w:color="auto" w:fill="auto"/>
          </w:tcPr>
          <w:p w14:paraId="7AC09EC9" w14:textId="77777777" w:rsidR="007409E1" w:rsidRDefault="007409E1">
            <w:pPr>
              <w:pStyle w:val="Table-Text"/>
              <w:overflowPunct w:val="0"/>
              <w:autoSpaceDE w:val="0"/>
              <w:autoSpaceDN w:val="0"/>
              <w:textAlignment w:val="baseline"/>
              <w:rPr>
                <w:sz w:val="20"/>
              </w:rPr>
            </w:pPr>
          </w:p>
        </w:tc>
        <w:tc>
          <w:tcPr>
            <w:tcW w:w="1541" w:type="dxa"/>
            <w:shd w:val="clear" w:color="auto" w:fill="auto"/>
          </w:tcPr>
          <w:p w14:paraId="4A987F4D" w14:textId="77777777" w:rsidR="007409E1" w:rsidRDefault="007409E1">
            <w:pPr>
              <w:pStyle w:val="Table-Text"/>
              <w:overflowPunct w:val="0"/>
              <w:autoSpaceDE w:val="0"/>
              <w:autoSpaceDN w:val="0"/>
              <w:textAlignment w:val="baseline"/>
              <w:rPr>
                <w:sz w:val="20"/>
              </w:rPr>
            </w:pPr>
          </w:p>
        </w:tc>
        <w:tc>
          <w:tcPr>
            <w:tcW w:w="1541" w:type="dxa"/>
            <w:shd w:val="clear" w:color="auto" w:fill="auto"/>
          </w:tcPr>
          <w:p w14:paraId="57589798" w14:textId="77777777" w:rsidR="007409E1" w:rsidRDefault="007409E1">
            <w:pPr>
              <w:pStyle w:val="Table-Text"/>
              <w:overflowPunct w:val="0"/>
              <w:autoSpaceDE w:val="0"/>
              <w:autoSpaceDN w:val="0"/>
              <w:textAlignment w:val="baseline"/>
              <w:rPr>
                <w:sz w:val="20"/>
              </w:rPr>
            </w:pPr>
          </w:p>
        </w:tc>
        <w:tc>
          <w:tcPr>
            <w:tcW w:w="1541" w:type="dxa"/>
            <w:shd w:val="clear" w:color="auto" w:fill="auto"/>
          </w:tcPr>
          <w:p w14:paraId="7CBC8E43" w14:textId="77777777" w:rsidR="007409E1" w:rsidRDefault="007409E1">
            <w:pPr>
              <w:pStyle w:val="Table-Text"/>
              <w:overflowPunct w:val="0"/>
              <w:autoSpaceDE w:val="0"/>
              <w:autoSpaceDN w:val="0"/>
              <w:textAlignment w:val="baseline"/>
              <w:rPr>
                <w:sz w:val="20"/>
              </w:rPr>
            </w:pPr>
          </w:p>
        </w:tc>
      </w:tr>
      <w:tr w:rsidR="007409E1" w14:paraId="534826AA" w14:textId="77777777">
        <w:tc>
          <w:tcPr>
            <w:tcW w:w="1540" w:type="dxa"/>
            <w:shd w:val="clear" w:color="auto" w:fill="auto"/>
          </w:tcPr>
          <w:p w14:paraId="74708B28" w14:textId="77777777" w:rsidR="007409E1" w:rsidRDefault="007409E1">
            <w:pPr>
              <w:pStyle w:val="Table-Text"/>
              <w:overflowPunct w:val="0"/>
              <w:autoSpaceDE w:val="0"/>
              <w:autoSpaceDN w:val="0"/>
              <w:textAlignment w:val="baseline"/>
              <w:rPr>
                <w:sz w:val="20"/>
              </w:rPr>
            </w:pPr>
          </w:p>
        </w:tc>
        <w:tc>
          <w:tcPr>
            <w:tcW w:w="1541" w:type="dxa"/>
            <w:shd w:val="clear" w:color="auto" w:fill="auto"/>
          </w:tcPr>
          <w:p w14:paraId="1C97610A" w14:textId="77777777" w:rsidR="007409E1" w:rsidRDefault="007409E1">
            <w:pPr>
              <w:pStyle w:val="Table-Text"/>
              <w:overflowPunct w:val="0"/>
              <w:autoSpaceDE w:val="0"/>
              <w:autoSpaceDN w:val="0"/>
              <w:textAlignment w:val="baseline"/>
              <w:rPr>
                <w:sz w:val="20"/>
              </w:rPr>
            </w:pPr>
          </w:p>
        </w:tc>
        <w:tc>
          <w:tcPr>
            <w:tcW w:w="1541" w:type="dxa"/>
            <w:shd w:val="clear" w:color="auto" w:fill="auto"/>
          </w:tcPr>
          <w:p w14:paraId="7672787F" w14:textId="77777777" w:rsidR="007409E1" w:rsidRDefault="007409E1">
            <w:pPr>
              <w:pStyle w:val="Table-Text"/>
              <w:overflowPunct w:val="0"/>
              <w:autoSpaceDE w:val="0"/>
              <w:autoSpaceDN w:val="0"/>
              <w:textAlignment w:val="baseline"/>
              <w:rPr>
                <w:sz w:val="20"/>
              </w:rPr>
            </w:pPr>
          </w:p>
        </w:tc>
        <w:tc>
          <w:tcPr>
            <w:tcW w:w="1541" w:type="dxa"/>
            <w:shd w:val="clear" w:color="auto" w:fill="auto"/>
          </w:tcPr>
          <w:p w14:paraId="2085A55D" w14:textId="77777777" w:rsidR="007409E1" w:rsidRDefault="007409E1">
            <w:pPr>
              <w:pStyle w:val="Table-Text"/>
              <w:overflowPunct w:val="0"/>
              <w:autoSpaceDE w:val="0"/>
              <w:autoSpaceDN w:val="0"/>
              <w:textAlignment w:val="baseline"/>
              <w:rPr>
                <w:sz w:val="20"/>
              </w:rPr>
            </w:pPr>
          </w:p>
        </w:tc>
        <w:tc>
          <w:tcPr>
            <w:tcW w:w="1541" w:type="dxa"/>
            <w:shd w:val="clear" w:color="auto" w:fill="auto"/>
          </w:tcPr>
          <w:p w14:paraId="422592C3" w14:textId="77777777" w:rsidR="007409E1" w:rsidRDefault="007409E1">
            <w:pPr>
              <w:pStyle w:val="Table-Text"/>
              <w:overflowPunct w:val="0"/>
              <w:autoSpaceDE w:val="0"/>
              <w:autoSpaceDN w:val="0"/>
              <w:textAlignment w:val="baseline"/>
              <w:rPr>
                <w:sz w:val="20"/>
              </w:rPr>
            </w:pPr>
          </w:p>
        </w:tc>
        <w:tc>
          <w:tcPr>
            <w:tcW w:w="1541" w:type="dxa"/>
            <w:shd w:val="clear" w:color="auto" w:fill="auto"/>
          </w:tcPr>
          <w:p w14:paraId="367C2299" w14:textId="77777777" w:rsidR="007409E1" w:rsidRDefault="007409E1">
            <w:pPr>
              <w:pStyle w:val="Table-Text"/>
              <w:overflowPunct w:val="0"/>
              <w:autoSpaceDE w:val="0"/>
              <w:autoSpaceDN w:val="0"/>
              <w:textAlignment w:val="baseline"/>
              <w:rPr>
                <w:sz w:val="20"/>
              </w:rPr>
            </w:pPr>
          </w:p>
        </w:tc>
      </w:tr>
      <w:tr w:rsidR="007409E1" w14:paraId="797487E1" w14:textId="77777777">
        <w:tc>
          <w:tcPr>
            <w:tcW w:w="1540" w:type="dxa"/>
            <w:shd w:val="clear" w:color="auto" w:fill="auto"/>
          </w:tcPr>
          <w:p w14:paraId="120034DB" w14:textId="77777777" w:rsidR="007409E1" w:rsidRDefault="007409E1">
            <w:pPr>
              <w:pStyle w:val="Table-Text"/>
              <w:overflowPunct w:val="0"/>
              <w:autoSpaceDE w:val="0"/>
              <w:autoSpaceDN w:val="0"/>
              <w:textAlignment w:val="baseline"/>
              <w:rPr>
                <w:sz w:val="20"/>
              </w:rPr>
            </w:pPr>
          </w:p>
        </w:tc>
        <w:tc>
          <w:tcPr>
            <w:tcW w:w="1541" w:type="dxa"/>
            <w:shd w:val="clear" w:color="auto" w:fill="auto"/>
          </w:tcPr>
          <w:p w14:paraId="2CF87B05" w14:textId="77777777" w:rsidR="007409E1" w:rsidRDefault="007409E1">
            <w:pPr>
              <w:pStyle w:val="Table-Text"/>
              <w:overflowPunct w:val="0"/>
              <w:autoSpaceDE w:val="0"/>
              <w:autoSpaceDN w:val="0"/>
              <w:textAlignment w:val="baseline"/>
              <w:rPr>
                <w:sz w:val="20"/>
              </w:rPr>
            </w:pPr>
          </w:p>
        </w:tc>
        <w:tc>
          <w:tcPr>
            <w:tcW w:w="1541" w:type="dxa"/>
            <w:shd w:val="clear" w:color="auto" w:fill="auto"/>
          </w:tcPr>
          <w:p w14:paraId="539430E7" w14:textId="77777777" w:rsidR="007409E1" w:rsidRDefault="007409E1">
            <w:pPr>
              <w:pStyle w:val="Table-Text"/>
              <w:overflowPunct w:val="0"/>
              <w:autoSpaceDE w:val="0"/>
              <w:autoSpaceDN w:val="0"/>
              <w:textAlignment w:val="baseline"/>
              <w:rPr>
                <w:sz w:val="20"/>
              </w:rPr>
            </w:pPr>
          </w:p>
        </w:tc>
        <w:tc>
          <w:tcPr>
            <w:tcW w:w="1541" w:type="dxa"/>
            <w:shd w:val="clear" w:color="auto" w:fill="auto"/>
          </w:tcPr>
          <w:p w14:paraId="7724EFB2" w14:textId="77777777" w:rsidR="007409E1" w:rsidRDefault="007409E1">
            <w:pPr>
              <w:pStyle w:val="Table-Text"/>
              <w:overflowPunct w:val="0"/>
              <w:autoSpaceDE w:val="0"/>
              <w:autoSpaceDN w:val="0"/>
              <w:textAlignment w:val="baseline"/>
              <w:rPr>
                <w:sz w:val="20"/>
              </w:rPr>
            </w:pPr>
          </w:p>
        </w:tc>
        <w:tc>
          <w:tcPr>
            <w:tcW w:w="1541" w:type="dxa"/>
            <w:shd w:val="clear" w:color="auto" w:fill="auto"/>
          </w:tcPr>
          <w:p w14:paraId="5F0C8170" w14:textId="77777777" w:rsidR="007409E1" w:rsidRDefault="007409E1">
            <w:pPr>
              <w:pStyle w:val="Table-Text"/>
              <w:overflowPunct w:val="0"/>
              <w:autoSpaceDE w:val="0"/>
              <w:autoSpaceDN w:val="0"/>
              <w:textAlignment w:val="baseline"/>
              <w:rPr>
                <w:sz w:val="20"/>
              </w:rPr>
            </w:pPr>
          </w:p>
        </w:tc>
        <w:tc>
          <w:tcPr>
            <w:tcW w:w="1541" w:type="dxa"/>
            <w:shd w:val="clear" w:color="auto" w:fill="auto"/>
          </w:tcPr>
          <w:p w14:paraId="7DCE969A" w14:textId="77777777" w:rsidR="007409E1" w:rsidRDefault="007409E1">
            <w:pPr>
              <w:pStyle w:val="Table-Text"/>
              <w:overflowPunct w:val="0"/>
              <w:autoSpaceDE w:val="0"/>
              <w:autoSpaceDN w:val="0"/>
              <w:textAlignment w:val="baseline"/>
              <w:rPr>
                <w:sz w:val="20"/>
              </w:rPr>
            </w:pPr>
          </w:p>
        </w:tc>
      </w:tr>
      <w:tr w:rsidR="007409E1" w14:paraId="05C61D47" w14:textId="77777777">
        <w:tc>
          <w:tcPr>
            <w:tcW w:w="1540" w:type="dxa"/>
            <w:shd w:val="clear" w:color="auto" w:fill="auto"/>
          </w:tcPr>
          <w:p w14:paraId="068DBF59" w14:textId="77777777" w:rsidR="007409E1" w:rsidRDefault="007409E1">
            <w:pPr>
              <w:pStyle w:val="Table-Text"/>
              <w:overflowPunct w:val="0"/>
              <w:autoSpaceDE w:val="0"/>
              <w:autoSpaceDN w:val="0"/>
              <w:textAlignment w:val="baseline"/>
              <w:rPr>
                <w:sz w:val="20"/>
              </w:rPr>
            </w:pPr>
          </w:p>
        </w:tc>
        <w:tc>
          <w:tcPr>
            <w:tcW w:w="1541" w:type="dxa"/>
            <w:shd w:val="clear" w:color="auto" w:fill="auto"/>
          </w:tcPr>
          <w:p w14:paraId="06F26F82" w14:textId="77777777" w:rsidR="007409E1" w:rsidRDefault="007409E1">
            <w:pPr>
              <w:pStyle w:val="Table-Text"/>
              <w:overflowPunct w:val="0"/>
              <w:autoSpaceDE w:val="0"/>
              <w:autoSpaceDN w:val="0"/>
              <w:textAlignment w:val="baseline"/>
              <w:rPr>
                <w:sz w:val="20"/>
              </w:rPr>
            </w:pPr>
          </w:p>
        </w:tc>
        <w:tc>
          <w:tcPr>
            <w:tcW w:w="1541" w:type="dxa"/>
            <w:shd w:val="clear" w:color="auto" w:fill="auto"/>
          </w:tcPr>
          <w:p w14:paraId="1DAC8E38" w14:textId="77777777" w:rsidR="007409E1" w:rsidRDefault="007409E1">
            <w:pPr>
              <w:pStyle w:val="Table-Text"/>
              <w:overflowPunct w:val="0"/>
              <w:autoSpaceDE w:val="0"/>
              <w:autoSpaceDN w:val="0"/>
              <w:textAlignment w:val="baseline"/>
              <w:rPr>
                <w:sz w:val="20"/>
              </w:rPr>
            </w:pPr>
          </w:p>
        </w:tc>
        <w:tc>
          <w:tcPr>
            <w:tcW w:w="1541" w:type="dxa"/>
            <w:shd w:val="clear" w:color="auto" w:fill="auto"/>
          </w:tcPr>
          <w:p w14:paraId="7FD8B276" w14:textId="77777777" w:rsidR="007409E1" w:rsidRDefault="007409E1">
            <w:pPr>
              <w:pStyle w:val="Table-Text"/>
              <w:overflowPunct w:val="0"/>
              <w:autoSpaceDE w:val="0"/>
              <w:autoSpaceDN w:val="0"/>
              <w:textAlignment w:val="baseline"/>
              <w:rPr>
                <w:sz w:val="20"/>
              </w:rPr>
            </w:pPr>
          </w:p>
        </w:tc>
        <w:tc>
          <w:tcPr>
            <w:tcW w:w="1541" w:type="dxa"/>
            <w:shd w:val="clear" w:color="auto" w:fill="auto"/>
          </w:tcPr>
          <w:p w14:paraId="37435AF2" w14:textId="77777777" w:rsidR="007409E1" w:rsidRDefault="007409E1">
            <w:pPr>
              <w:pStyle w:val="Table-Text"/>
              <w:overflowPunct w:val="0"/>
              <w:autoSpaceDE w:val="0"/>
              <w:autoSpaceDN w:val="0"/>
              <w:textAlignment w:val="baseline"/>
              <w:rPr>
                <w:sz w:val="20"/>
              </w:rPr>
            </w:pPr>
          </w:p>
        </w:tc>
        <w:tc>
          <w:tcPr>
            <w:tcW w:w="1541" w:type="dxa"/>
            <w:shd w:val="clear" w:color="auto" w:fill="auto"/>
          </w:tcPr>
          <w:p w14:paraId="2E04B5FB" w14:textId="77777777" w:rsidR="007409E1" w:rsidRDefault="007409E1">
            <w:pPr>
              <w:pStyle w:val="Table-Text"/>
              <w:overflowPunct w:val="0"/>
              <w:autoSpaceDE w:val="0"/>
              <w:autoSpaceDN w:val="0"/>
              <w:textAlignment w:val="baseline"/>
              <w:rPr>
                <w:sz w:val="20"/>
              </w:rPr>
            </w:pPr>
          </w:p>
        </w:tc>
      </w:tr>
      <w:tr w:rsidR="007409E1" w14:paraId="4AA35A38" w14:textId="77777777">
        <w:tc>
          <w:tcPr>
            <w:tcW w:w="1540" w:type="dxa"/>
            <w:shd w:val="clear" w:color="auto" w:fill="auto"/>
          </w:tcPr>
          <w:p w14:paraId="1C5DDE06" w14:textId="77777777" w:rsidR="007409E1" w:rsidRDefault="007409E1">
            <w:pPr>
              <w:pStyle w:val="Table-Text"/>
              <w:overflowPunct w:val="0"/>
              <w:autoSpaceDE w:val="0"/>
              <w:autoSpaceDN w:val="0"/>
              <w:textAlignment w:val="baseline"/>
              <w:rPr>
                <w:sz w:val="20"/>
              </w:rPr>
            </w:pPr>
          </w:p>
        </w:tc>
        <w:tc>
          <w:tcPr>
            <w:tcW w:w="1541" w:type="dxa"/>
            <w:shd w:val="clear" w:color="auto" w:fill="auto"/>
          </w:tcPr>
          <w:p w14:paraId="581B4C9E" w14:textId="77777777" w:rsidR="007409E1" w:rsidRDefault="007409E1">
            <w:pPr>
              <w:pStyle w:val="Table-Text"/>
              <w:overflowPunct w:val="0"/>
              <w:autoSpaceDE w:val="0"/>
              <w:autoSpaceDN w:val="0"/>
              <w:textAlignment w:val="baseline"/>
              <w:rPr>
                <w:sz w:val="20"/>
              </w:rPr>
            </w:pPr>
          </w:p>
        </w:tc>
        <w:tc>
          <w:tcPr>
            <w:tcW w:w="1541" w:type="dxa"/>
            <w:shd w:val="clear" w:color="auto" w:fill="auto"/>
          </w:tcPr>
          <w:p w14:paraId="2A572B55" w14:textId="77777777" w:rsidR="007409E1" w:rsidRDefault="007409E1">
            <w:pPr>
              <w:pStyle w:val="Table-Text"/>
              <w:overflowPunct w:val="0"/>
              <w:autoSpaceDE w:val="0"/>
              <w:autoSpaceDN w:val="0"/>
              <w:textAlignment w:val="baseline"/>
              <w:rPr>
                <w:sz w:val="20"/>
              </w:rPr>
            </w:pPr>
          </w:p>
        </w:tc>
        <w:tc>
          <w:tcPr>
            <w:tcW w:w="1541" w:type="dxa"/>
            <w:shd w:val="clear" w:color="auto" w:fill="auto"/>
          </w:tcPr>
          <w:p w14:paraId="6D261EDD" w14:textId="77777777" w:rsidR="007409E1" w:rsidRDefault="007409E1">
            <w:pPr>
              <w:pStyle w:val="Table-Text"/>
              <w:overflowPunct w:val="0"/>
              <w:autoSpaceDE w:val="0"/>
              <w:autoSpaceDN w:val="0"/>
              <w:textAlignment w:val="baseline"/>
              <w:rPr>
                <w:sz w:val="20"/>
              </w:rPr>
            </w:pPr>
          </w:p>
        </w:tc>
        <w:tc>
          <w:tcPr>
            <w:tcW w:w="1541" w:type="dxa"/>
            <w:shd w:val="clear" w:color="auto" w:fill="auto"/>
          </w:tcPr>
          <w:p w14:paraId="6A7AECF5" w14:textId="77777777" w:rsidR="007409E1" w:rsidRDefault="007409E1">
            <w:pPr>
              <w:pStyle w:val="Table-Text"/>
              <w:overflowPunct w:val="0"/>
              <w:autoSpaceDE w:val="0"/>
              <w:autoSpaceDN w:val="0"/>
              <w:textAlignment w:val="baseline"/>
              <w:rPr>
                <w:sz w:val="20"/>
              </w:rPr>
            </w:pPr>
          </w:p>
        </w:tc>
        <w:tc>
          <w:tcPr>
            <w:tcW w:w="1541" w:type="dxa"/>
            <w:shd w:val="clear" w:color="auto" w:fill="auto"/>
          </w:tcPr>
          <w:p w14:paraId="08E169C5" w14:textId="77777777" w:rsidR="007409E1" w:rsidRDefault="007409E1">
            <w:pPr>
              <w:pStyle w:val="Table-Text"/>
              <w:overflowPunct w:val="0"/>
              <w:autoSpaceDE w:val="0"/>
              <w:autoSpaceDN w:val="0"/>
              <w:textAlignment w:val="baseline"/>
              <w:rPr>
                <w:sz w:val="20"/>
              </w:rPr>
            </w:pPr>
          </w:p>
        </w:tc>
      </w:tr>
      <w:tr w:rsidR="007409E1" w14:paraId="484AD52C" w14:textId="77777777">
        <w:tc>
          <w:tcPr>
            <w:tcW w:w="1540" w:type="dxa"/>
            <w:shd w:val="clear" w:color="auto" w:fill="auto"/>
          </w:tcPr>
          <w:p w14:paraId="77C90443" w14:textId="77777777" w:rsidR="007409E1" w:rsidRDefault="007409E1">
            <w:pPr>
              <w:pStyle w:val="Table-Text"/>
              <w:overflowPunct w:val="0"/>
              <w:autoSpaceDE w:val="0"/>
              <w:autoSpaceDN w:val="0"/>
              <w:textAlignment w:val="baseline"/>
              <w:rPr>
                <w:sz w:val="20"/>
              </w:rPr>
            </w:pPr>
          </w:p>
        </w:tc>
        <w:tc>
          <w:tcPr>
            <w:tcW w:w="1541" w:type="dxa"/>
            <w:shd w:val="clear" w:color="auto" w:fill="auto"/>
          </w:tcPr>
          <w:p w14:paraId="75B56A15" w14:textId="77777777" w:rsidR="007409E1" w:rsidRDefault="007409E1">
            <w:pPr>
              <w:pStyle w:val="Table-Text"/>
              <w:overflowPunct w:val="0"/>
              <w:autoSpaceDE w:val="0"/>
              <w:autoSpaceDN w:val="0"/>
              <w:textAlignment w:val="baseline"/>
              <w:rPr>
                <w:sz w:val="20"/>
              </w:rPr>
            </w:pPr>
          </w:p>
        </w:tc>
        <w:tc>
          <w:tcPr>
            <w:tcW w:w="1541" w:type="dxa"/>
            <w:shd w:val="clear" w:color="auto" w:fill="auto"/>
          </w:tcPr>
          <w:p w14:paraId="4BB3AFA0" w14:textId="77777777" w:rsidR="007409E1" w:rsidRDefault="007409E1">
            <w:pPr>
              <w:pStyle w:val="Table-Text"/>
              <w:overflowPunct w:val="0"/>
              <w:autoSpaceDE w:val="0"/>
              <w:autoSpaceDN w:val="0"/>
              <w:textAlignment w:val="baseline"/>
              <w:rPr>
                <w:sz w:val="20"/>
              </w:rPr>
            </w:pPr>
          </w:p>
        </w:tc>
        <w:tc>
          <w:tcPr>
            <w:tcW w:w="1541" w:type="dxa"/>
            <w:shd w:val="clear" w:color="auto" w:fill="auto"/>
          </w:tcPr>
          <w:p w14:paraId="47655AAD" w14:textId="77777777" w:rsidR="007409E1" w:rsidRDefault="007409E1">
            <w:pPr>
              <w:pStyle w:val="Table-Text"/>
              <w:overflowPunct w:val="0"/>
              <w:autoSpaceDE w:val="0"/>
              <w:autoSpaceDN w:val="0"/>
              <w:textAlignment w:val="baseline"/>
              <w:rPr>
                <w:sz w:val="20"/>
              </w:rPr>
            </w:pPr>
          </w:p>
        </w:tc>
        <w:tc>
          <w:tcPr>
            <w:tcW w:w="1541" w:type="dxa"/>
            <w:shd w:val="clear" w:color="auto" w:fill="auto"/>
          </w:tcPr>
          <w:p w14:paraId="1654789D" w14:textId="77777777" w:rsidR="007409E1" w:rsidRDefault="007409E1">
            <w:pPr>
              <w:pStyle w:val="Table-Text"/>
              <w:overflowPunct w:val="0"/>
              <w:autoSpaceDE w:val="0"/>
              <w:autoSpaceDN w:val="0"/>
              <w:textAlignment w:val="baseline"/>
              <w:rPr>
                <w:sz w:val="20"/>
              </w:rPr>
            </w:pPr>
          </w:p>
        </w:tc>
        <w:tc>
          <w:tcPr>
            <w:tcW w:w="1541" w:type="dxa"/>
            <w:shd w:val="clear" w:color="auto" w:fill="auto"/>
          </w:tcPr>
          <w:p w14:paraId="41A3E9BD" w14:textId="77777777" w:rsidR="007409E1" w:rsidRDefault="007409E1">
            <w:pPr>
              <w:pStyle w:val="Table-Text"/>
              <w:overflowPunct w:val="0"/>
              <w:autoSpaceDE w:val="0"/>
              <w:autoSpaceDN w:val="0"/>
              <w:textAlignment w:val="baseline"/>
              <w:rPr>
                <w:sz w:val="20"/>
              </w:rPr>
            </w:pPr>
          </w:p>
        </w:tc>
      </w:tr>
      <w:tr w:rsidR="007409E1" w14:paraId="0BB930D5" w14:textId="77777777">
        <w:tc>
          <w:tcPr>
            <w:tcW w:w="1540" w:type="dxa"/>
            <w:shd w:val="clear" w:color="auto" w:fill="auto"/>
          </w:tcPr>
          <w:p w14:paraId="79E0C6D5" w14:textId="77777777" w:rsidR="007409E1" w:rsidRDefault="007409E1">
            <w:pPr>
              <w:pStyle w:val="Table-Text"/>
              <w:overflowPunct w:val="0"/>
              <w:autoSpaceDE w:val="0"/>
              <w:autoSpaceDN w:val="0"/>
              <w:textAlignment w:val="baseline"/>
              <w:rPr>
                <w:sz w:val="20"/>
              </w:rPr>
            </w:pPr>
          </w:p>
        </w:tc>
        <w:tc>
          <w:tcPr>
            <w:tcW w:w="1541" w:type="dxa"/>
            <w:shd w:val="clear" w:color="auto" w:fill="auto"/>
          </w:tcPr>
          <w:p w14:paraId="3F38CF04" w14:textId="77777777" w:rsidR="007409E1" w:rsidRDefault="007409E1">
            <w:pPr>
              <w:pStyle w:val="Table-Text"/>
              <w:overflowPunct w:val="0"/>
              <w:autoSpaceDE w:val="0"/>
              <w:autoSpaceDN w:val="0"/>
              <w:textAlignment w:val="baseline"/>
              <w:rPr>
                <w:sz w:val="20"/>
              </w:rPr>
            </w:pPr>
          </w:p>
        </w:tc>
        <w:tc>
          <w:tcPr>
            <w:tcW w:w="1541" w:type="dxa"/>
            <w:shd w:val="clear" w:color="auto" w:fill="auto"/>
          </w:tcPr>
          <w:p w14:paraId="016AAD31" w14:textId="77777777" w:rsidR="007409E1" w:rsidRDefault="007409E1">
            <w:pPr>
              <w:pStyle w:val="Table-Text"/>
              <w:overflowPunct w:val="0"/>
              <w:autoSpaceDE w:val="0"/>
              <w:autoSpaceDN w:val="0"/>
              <w:textAlignment w:val="baseline"/>
              <w:rPr>
                <w:sz w:val="20"/>
              </w:rPr>
            </w:pPr>
          </w:p>
        </w:tc>
        <w:tc>
          <w:tcPr>
            <w:tcW w:w="1541" w:type="dxa"/>
            <w:shd w:val="clear" w:color="auto" w:fill="auto"/>
          </w:tcPr>
          <w:p w14:paraId="7482D104" w14:textId="77777777" w:rsidR="007409E1" w:rsidRDefault="007409E1">
            <w:pPr>
              <w:pStyle w:val="Table-Text"/>
              <w:overflowPunct w:val="0"/>
              <w:autoSpaceDE w:val="0"/>
              <w:autoSpaceDN w:val="0"/>
              <w:textAlignment w:val="baseline"/>
              <w:rPr>
                <w:sz w:val="20"/>
              </w:rPr>
            </w:pPr>
          </w:p>
        </w:tc>
        <w:tc>
          <w:tcPr>
            <w:tcW w:w="1541" w:type="dxa"/>
            <w:shd w:val="clear" w:color="auto" w:fill="auto"/>
          </w:tcPr>
          <w:p w14:paraId="59998AB4" w14:textId="77777777" w:rsidR="007409E1" w:rsidRDefault="007409E1">
            <w:pPr>
              <w:pStyle w:val="Table-Text"/>
              <w:overflowPunct w:val="0"/>
              <w:autoSpaceDE w:val="0"/>
              <w:autoSpaceDN w:val="0"/>
              <w:textAlignment w:val="baseline"/>
              <w:rPr>
                <w:sz w:val="20"/>
              </w:rPr>
            </w:pPr>
          </w:p>
        </w:tc>
        <w:tc>
          <w:tcPr>
            <w:tcW w:w="1541" w:type="dxa"/>
            <w:shd w:val="clear" w:color="auto" w:fill="auto"/>
          </w:tcPr>
          <w:p w14:paraId="726AF155" w14:textId="77777777" w:rsidR="007409E1" w:rsidRDefault="007409E1">
            <w:pPr>
              <w:pStyle w:val="Table-Text"/>
              <w:overflowPunct w:val="0"/>
              <w:autoSpaceDE w:val="0"/>
              <w:autoSpaceDN w:val="0"/>
              <w:textAlignment w:val="baseline"/>
              <w:rPr>
                <w:sz w:val="20"/>
              </w:rPr>
            </w:pPr>
          </w:p>
        </w:tc>
      </w:tr>
      <w:tr w:rsidR="007409E1" w14:paraId="0C06995B" w14:textId="77777777">
        <w:tc>
          <w:tcPr>
            <w:tcW w:w="1540" w:type="dxa"/>
            <w:shd w:val="clear" w:color="auto" w:fill="auto"/>
          </w:tcPr>
          <w:p w14:paraId="5A932508" w14:textId="77777777" w:rsidR="007409E1" w:rsidRDefault="007409E1">
            <w:pPr>
              <w:pStyle w:val="Table-Text"/>
              <w:overflowPunct w:val="0"/>
              <w:autoSpaceDE w:val="0"/>
              <w:autoSpaceDN w:val="0"/>
              <w:textAlignment w:val="baseline"/>
              <w:rPr>
                <w:sz w:val="20"/>
              </w:rPr>
            </w:pPr>
          </w:p>
        </w:tc>
        <w:tc>
          <w:tcPr>
            <w:tcW w:w="1541" w:type="dxa"/>
            <w:shd w:val="clear" w:color="auto" w:fill="auto"/>
          </w:tcPr>
          <w:p w14:paraId="5A0092F3" w14:textId="77777777" w:rsidR="007409E1" w:rsidRDefault="007409E1">
            <w:pPr>
              <w:pStyle w:val="Table-Text"/>
              <w:overflowPunct w:val="0"/>
              <w:autoSpaceDE w:val="0"/>
              <w:autoSpaceDN w:val="0"/>
              <w:textAlignment w:val="baseline"/>
              <w:rPr>
                <w:sz w:val="20"/>
              </w:rPr>
            </w:pPr>
          </w:p>
        </w:tc>
        <w:tc>
          <w:tcPr>
            <w:tcW w:w="1541" w:type="dxa"/>
            <w:shd w:val="clear" w:color="auto" w:fill="auto"/>
          </w:tcPr>
          <w:p w14:paraId="63125575" w14:textId="77777777" w:rsidR="007409E1" w:rsidRDefault="007409E1">
            <w:pPr>
              <w:pStyle w:val="Table-Text"/>
              <w:overflowPunct w:val="0"/>
              <w:autoSpaceDE w:val="0"/>
              <w:autoSpaceDN w:val="0"/>
              <w:textAlignment w:val="baseline"/>
              <w:rPr>
                <w:sz w:val="20"/>
              </w:rPr>
            </w:pPr>
          </w:p>
        </w:tc>
        <w:tc>
          <w:tcPr>
            <w:tcW w:w="1541" w:type="dxa"/>
            <w:shd w:val="clear" w:color="auto" w:fill="auto"/>
          </w:tcPr>
          <w:p w14:paraId="516559E5" w14:textId="77777777" w:rsidR="007409E1" w:rsidRDefault="007409E1">
            <w:pPr>
              <w:pStyle w:val="Table-Text"/>
              <w:overflowPunct w:val="0"/>
              <w:autoSpaceDE w:val="0"/>
              <w:autoSpaceDN w:val="0"/>
              <w:textAlignment w:val="baseline"/>
              <w:rPr>
                <w:sz w:val="20"/>
              </w:rPr>
            </w:pPr>
          </w:p>
        </w:tc>
        <w:tc>
          <w:tcPr>
            <w:tcW w:w="1541" w:type="dxa"/>
            <w:shd w:val="clear" w:color="auto" w:fill="auto"/>
          </w:tcPr>
          <w:p w14:paraId="383691B7" w14:textId="77777777" w:rsidR="007409E1" w:rsidRDefault="007409E1">
            <w:pPr>
              <w:pStyle w:val="Table-Text"/>
              <w:overflowPunct w:val="0"/>
              <w:autoSpaceDE w:val="0"/>
              <w:autoSpaceDN w:val="0"/>
              <w:textAlignment w:val="baseline"/>
              <w:rPr>
                <w:sz w:val="20"/>
              </w:rPr>
            </w:pPr>
          </w:p>
        </w:tc>
        <w:tc>
          <w:tcPr>
            <w:tcW w:w="1541" w:type="dxa"/>
            <w:shd w:val="clear" w:color="auto" w:fill="auto"/>
          </w:tcPr>
          <w:p w14:paraId="2080E60F" w14:textId="77777777" w:rsidR="007409E1" w:rsidRDefault="007409E1">
            <w:pPr>
              <w:pStyle w:val="Table-Text"/>
              <w:overflowPunct w:val="0"/>
              <w:autoSpaceDE w:val="0"/>
              <w:autoSpaceDN w:val="0"/>
              <w:textAlignment w:val="baseline"/>
              <w:rPr>
                <w:sz w:val="20"/>
              </w:rPr>
            </w:pPr>
          </w:p>
        </w:tc>
      </w:tr>
      <w:tr w:rsidR="007409E1" w14:paraId="6058F025" w14:textId="77777777">
        <w:tc>
          <w:tcPr>
            <w:tcW w:w="1540" w:type="dxa"/>
            <w:shd w:val="clear" w:color="auto" w:fill="auto"/>
          </w:tcPr>
          <w:p w14:paraId="7435EB9B" w14:textId="77777777" w:rsidR="007409E1" w:rsidRDefault="007409E1">
            <w:pPr>
              <w:pStyle w:val="Table-Text"/>
              <w:overflowPunct w:val="0"/>
              <w:autoSpaceDE w:val="0"/>
              <w:autoSpaceDN w:val="0"/>
              <w:textAlignment w:val="baseline"/>
              <w:rPr>
                <w:sz w:val="20"/>
              </w:rPr>
            </w:pPr>
          </w:p>
        </w:tc>
        <w:tc>
          <w:tcPr>
            <w:tcW w:w="1541" w:type="dxa"/>
            <w:shd w:val="clear" w:color="auto" w:fill="auto"/>
          </w:tcPr>
          <w:p w14:paraId="539C9850" w14:textId="77777777" w:rsidR="007409E1" w:rsidRDefault="007409E1">
            <w:pPr>
              <w:pStyle w:val="Table-Text"/>
              <w:overflowPunct w:val="0"/>
              <w:autoSpaceDE w:val="0"/>
              <w:autoSpaceDN w:val="0"/>
              <w:textAlignment w:val="baseline"/>
              <w:rPr>
                <w:sz w:val="20"/>
              </w:rPr>
            </w:pPr>
          </w:p>
        </w:tc>
        <w:tc>
          <w:tcPr>
            <w:tcW w:w="1541" w:type="dxa"/>
            <w:shd w:val="clear" w:color="auto" w:fill="auto"/>
          </w:tcPr>
          <w:p w14:paraId="398C0A68" w14:textId="77777777" w:rsidR="007409E1" w:rsidRDefault="007409E1">
            <w:pPr>
              <w:pStyle w:val="Table-Text"/>
              <w:overflowPunct w:val="0"/>
              <w:autoSpaceDE w:val="0"/>
              <w:autoSpaceDN w:val="0"/>
              <w:textAlignment w:val="baseline"/>
              <w:rPr>
                <w:sz w:val="20"/>
              </w:rPr>
            </w:pPr>
          </w:p>
        </w:tc>
        <w:tc>
          <w:tcPr>
            <w:tcW w:w="1541" w:type="dxa"/>
            <w:shd w:val="clear" w:color="auto" w:fill="auto"/>
          </w:tcPr>
          <w:p w14:paraId="4C780D59" w14:textId="77777777" w:rsidR="007409E1" w:rsidRDefault="007409E1">
            <w:pPr>
              <w:pStyle w:val="Table-Text"/>
              <w:overflowPunct w:val="0"/>
              <w:autoSpaceDE w:val="0"/>
              <w:autoSpaceDN w:val="0"/>
              <w:textAlignment w:val="baseline"/>
              <w:rPr>
                <w:sz w:val="20"/>
              </w:rPr>
            </w:pPr>
          </w:p>
        </w:tc>
        <w:tc>
          <w:tcPr>
            <w:tcW w:w="1541" w:type="dxa"/>
            <w:shd w:val="clear" w:color="auto" w:fill="auto"/>
          </w:tcPr>
          <w:p w14:paraId="34A4F9CE" w14:textId="77777777" w:rsidR="007409E1" w:rsidRDefault="007409E1">
            <w:pPr>
              <w:pStyle w:val="Table-Text"/>
              <w:overflowPunct w:val="0"/>
              <w:autoSpaceDE w:val="0"/>
              <w:autoSpaceDN w:val="0"/>
              <w:textAlignment w:val="baseline"/>
              <w:rPr>
                <w:sz w:val="20"/>
              </w:rPr>
            </w:pPr>
          </w:p>
        </w:tc>
        <w:tc>
          <w:tcPr>
            <w:tcW w:w="1541" w:type="dxa"/>
            <w:shd w:val="clear" w:color="auto" w:fill="auto"/>
          </w:tcPr>
          <w:p w14:paraId="381031F2" w14:textId="77777777" w:rsidR="007409E1" w:rsidRDefault="007409E1">
            <w:pPr>
              <w:pStyle w:val="Table-Text"/>
              <w:overflowPunct w:val="0"/>
              <w:autoSpaceDE w:val="0"/>
              <w:autoSpaceDN w:val="0"/>
              <w:textAlignment w:val="baseline"/>
              <w:rPr>
                <w:sz w:val="20"/>
              </w:rPr>
            </w:pPr>
          </w:p>
        </w:tc>
      </w:tr>
    </w:tbl>
    <w:p w14:paraId="4F01B679" w14:textId="77777777" w:rsidR="007409E1" w:rsidRDefault="007409E1">
      <w:pPr>
        <w:pStyle w:val="Table-followingparagraph"/>
      </w:pPr>
    </w:p>
    <w:p w14:paraId="0FC2238A" w14:textId="77777777" w:rsidR="007409E1" w:rsidRDefault="007409E1">
      <w:pPr>
        <w:pStyle w:val="MarginText"/>
        <w:tabs>
          <w:tab w:val="left" w:pos="1440"/>
        </w:tabs>
        <w:jc w:val="center"/>
        <w:rPr>
          <w:b/>
        </w:rPr>
      </w:pPr>
      <w:r>
        <w:br w:type="page"/>
      </w:r>
      <w:r>
        <w:rPr>
          <w:b/>
        </w:rPr>
        <w:t>Schedule 2</w:t>
      </w:r>
    </w:p>
    <w:p w14:paraId="25DA27F9" w14:textId="77777777" w:rsidR="007409E1" w:rsidRDefault="007409E1">
      <w:pPr>
        <w:pStyle w:val="MarginText"/>
        <w:tabs>
          <w:tab w:val="left" w:pos="1440"/>
        </w:tabs>
        <w:jc w:val="center"/>
        <w:rPr>
          <w:b/>
        </w:rPr>
      </w:pPr>
      <w:r>
        <w:rPr>
          <w:b/>
        </w:rPr>
        <w:t>Form of Accountholder's Certification</w:t>
      </w:r>
    </w:p>
    <w:p w14:paraId="3D3C2FD5" w14:textId="77777777" w:rsidR="007409E1" w:rsidRDefault="007409E1">
      <w:pPr>
        <w:pStyle w:val="MarginText"/>
        <w:tabs>
          <w:tab w:val="left" w:pos="1440"/>
        </w:tabs>
        <w:spacing w:after="0"/>
        <w:jc w:val="center"/>
        <w:rPr>
          <w:b/>
        </w:rPr>
      </w:pPr>
      <w:r>
        <w:rPr>
          <w:b/>
        </w:rPr>
        <w:t>ADIF-ALTA VELOCIDAD</w:t>
      </w:r>
    </w:p>
    <w:p w14:paraId="4903D6F2" w14:textId="77777777" w:rsidR="007409E1" w:rsidRDefault="007409E1">
      <w:pPr>
        <w:pStyle w:val="MarginText"/>
        <w:tabs>
          <w:tab w:val="left" w:pos="1440"/>
        </w:tabs>
        <w:jc w:val="center"/>
      </w:pPr>
      <w:r>
        <w:t>(</w:t>
      </w:r>
      <w:r>
        <w:rPr>
          <w:i/>
        </w:rPr>
        <w:t>established in the Kingdom of Spain</w:t>
      </w:r>
      <w:r>
        <w:t>)</w:t>
      </w:r>
    </w:p>
    <w:p w14:paraId="3359D037" w14:textId="77777777" w:rsidR="007409E1" w:rsidRDefault="007409E1">
      <w:pPr>
        <w:pStyle w:val="MarginText"/>
        <w:tabs>
          <w:tab w:val="left" w:pos="1440"/>
        </w:tabs>
        <w:jc w:val="center"/>
        <w:rPr>
          <w:b/>
        </w:rPr>
      </w:pPr>
      <w:r>
        <w:rPr>
          <w:b/>
        </w:rPr>
        <w:t xml:space="preserve">EUR </w:t>
      </w:r>
      <w:r w:rsidR="00E828BA">
        <w:rPr>
          <w:b/>
        </w:rPr>
        <w:t>8</w:t>
      </w:r>
      <w:r>
        <w:rPr>
          <w:b/>
        </w:rPr>
        <w:t>,000,000,000</w:t>
      </w:r>
    </w:p>
    <w:p w14:paraId="1795A0B4" w14:textId="77777777" w:rsidR="007409E1" w:rsidRDefault="007409E1">
      <w:pPr>
        <w:pStyle w:val="MarginText"/>
        <w:tabs>
          <w:tab w:val="left" w:pos="1440"/>
        </w:tabs>
        <w:jc w:val="center"/>
        <w:rPr>
          <w:b/>
        </w:rPr>
      </w:pPr>
      <w:r>
        <w:rPr>
          <w:b/>
        </w:rPr>
        <w:t>Euro Medium Term Note Programme</w:t>
      </w:r>
    </w:p>
    <w:p w14:paraId="6242E13F" w14:textId="77777777" w:rsidR="007409E1" w:rsidRDefault="007409E1">
      <w:pPr>
        <w:pStyle w:val="MarginText"/>
        <w:tabs>
          <w:tab w:val="left" w:pos="1440"/>
        </w:tabs>
      </w:pPr>
      <w:r>
        <w:t>This is to certify that as of the date hereof, and except as set forth below, the above-captioned Securities held by you for our account (a) are owned by persons that are not citizens or residents of the United States, domestic partnerships, domestic corporations or any estate or trust the income of which is subject to United States Federal income taxation regardless of its source (</w:t>
      </w:r>
      <w:r>
        <w:rPr>
          <w:b/>
        </w:rPr>
        <w:t>"United States persons"</w:t>
      </w:r>
      <w:r>
        <w:t>), (b) are owned by United States person(s) that (i) are foreign branches of a United States financial institution (as defined in US Treasury Regulations section 1.165-12(c)(1)(v)) (</w:t>
      </w:r>
      <w:r>
        <w:rPr>
          <w:b/>
        </w:rPr>
        <w:t>"financial institutions"</w:t>
      </w:r>
      <w:r>
        <w:t>) purchasing for their own account or for resale, or (b) acquired the Securities through foreign branches of United States financial institutions and who hold the Securities through such United States financial institutions on the date hereof (and in either case (i) or (ii), each such United States financial institution hereby agrees, on its own behalf or through its agent, that you may advise the issuer or the issuer's agent that it will comply with the requirements of section 165(j)(3)(A), (B) or (C) of the Internal Revenue Code of 1986, as amended, and the regulations thereunder), or (c) are owned by United States or foreign financial institution(s) for purposes of resale during the restricted period (as defined in US Treasury Regulations section 1.163-5(c)(2)(i)(D)(7)), and in addition if the owner of the Securities is a United States or foreign financial institution described in Clause (c) (whether or not also described in Clause (a) or (b)) this is to further certify that such financial institution has not acquired the Securities for purposes of resale directly or indirectly to a United States person or to a person within the United States or its possessions.</w:t>
      </w:r>
    </w:p>
    <w:p w14:paraId="3AC80F25" w14:textId="77777777" w:rsidR="007409E1" w:rsidRDefault="007409E1">
      <w:pPr>
        <w:pStyle w:val="MarginText"/>
        <w:tabs>
          <w:tab w:val="left" w:pos="1440"/>
        </w:tabs>
      </w:pPr>
      <w:r>
        <w:t xml:space="preserve">If the Securities are of the category contemplated in section 230.903(c)(3) of Regulation S under the Securities Act of 1933, as amended (the </w:t>
      </w:r>
      <w:r>
        <w:rPr>
          <w:b/>
        </w:rPr>
        <w:t>"Act"</w:t>
      </w:r>
      <w:r>
        <w:t xml:space="preserve">), then this is also to certify that, except as set forth below, the Securities are beneficially owned by (1) non-US person(s) or (2) US person(s) who purchased the Securities in transactions which did not require registration under the Act.  As used in this paragraph the term </w:t>
      </w:r>
      <w:r>
        <w:rPr>
          <w:b/>
        </w:rPr>
        <w:t>"US person"</w:t>
      </w:r>
      <w:r>
        <w:t xml:space="preserve"> has the meaning given to it by Regulation S under the Act.</w:t>
      </w:r>
    </w:p>
    <w:p w14:paraId="27F9CF71" w14:textId="77777777" w:rsidR="007409E1" w:rsidRDefault="007409E1">
      <w:pPr>
        <w:pStyle w:val="MarginText"/>
        <w:tabs>
          <w:tab w:val="left" w:pos="1440"/>
        </w:tabs>
      </w:pPr>
      <w:r>
        <w:t xml:space="preserve">As used herein, </w:t>
      </w:r>
      <w:r>
        <w:rPr>
          <w:b/>
        </w:rPr>
        <w:t>"United States"</w:t>
      </w:r>
      <w:r>
        <w:t xml:space="preserve"> means the United States of America (including the States and the District of Columbia); and its </w:t>
      </w:r>
      <w:r>
        <w:rPr>
          <w:b/>
        </w:rPr>
        <w:t>"possessions"</w:t>
      </w:r>
      <w:r>
        <w:t xml:space="preserve"> include Puerto Rico, the US Virgin Islands, Guam, American Samoa, Wake Island and the Northern Mariana Islands.</w:t>
      </w:r>
    </w:p>
    <w:p w14:paraId="3597E317" w14:textId="77777777" w:rsidR="007409E1" w:rsidRDefault="007409E1">
      <w:pPr>
        <w:pStyle w:val="MarginText"/>
        <w:tabs>
          <w:tab w:val="left" w:pos="1440"/>
        </w:tabs>
      </w:pPr>
      <w:r>
        <w:t>We undertake to advise you promptly by tested telex on or prior to the date on which you intend to submit your certification relating to the Securities held by you for our account in accordance with your operating procedures if any applicable statement herein is not correct on such date, and in the absence of any such notification it may be assumed that this certification applies as of such date.</w:t>
      </w:r>
    </w:p>
    <w:p w14:paraId="1EEFB64F" w14:textId="77777777" w:rsidR="007409E1" w:rsidRDefault="007409E1">
      <w:pPr>
        <w:pStyle w:val="MarginText"/>
        <w:tabs>
          <w:tab w:val="left" w:pos="1440"/>
        </w:tabs>
      </w:pPr>
      <w:r>
        <w:t>This certification excepts and does not relate to [</w:t>
      </w:r>
      <w:r>
        <w:rPr>
          <w:i/>
        </w:rPr>
        <w:t>currency</w:t>
      </w:r>
      <w:r>
        <w:t>] [</w:t>
      </w:r>
      <w:r>
        <w:rPr>
          <w:i/>
        </w:rPr>
        <w:t>amount</w:t>
      </w:r>
      <w:r>
        <w:t>] of such interest in the above Securities in respect of which we are not able to certify and as to which we understand exchange and delivery of definitive Securities (or, if relevant, exercise of any rights or collection of any interest) cannot be made until we do so certify.</w:t>
      </w:r>
    </w:p>
    <w:p w14:paraId="6D31BD14" w14:textId="77777777" w:rsidR="007409E1" w:rsidRDefault="007409E1">
      <w:pPr>
        <w:pStyle w:val="MarginText"/>
        <w:tabs>
          <w:tab w:val="left" w:pos="1440"/>
        </w:tabs>
      </w:pPr>
      <w:r>
        <w:t>We understand that this certification is required in connection with certain tax laws and, if applicable, certain securities laws of the United States.  In connection therewith, if administrative or legal proceedings are commenced or threatened in connection with which this certification is or would be relevant, we irrevocably authorise you to produce this certification to any interested party in such proceedings.</w:t>
      </w:r>
    </w:p>
    <w:p w14:paraId="282F93F0" w14:textId="77777777" w:rsidR="007409E1" w:rsidRDefault="007409E1">
      <w:pPr>
        <w:pStyle w:val="MarginText"/>
        <w:tabs>
          <w:tab w:val="left" w:pos="1440"/>
        </w:tabs>
      </w:pPr>
      <w:r>
        <w:t>Dated: [</w:t>
      </w:r>
      <w:r>
        <w:rPr>
          <w:rFonts w:ascii="Wingdings" w:hAnsi="Wingdings"/>
        </w:rPr>
        <w:t></w:t>
      </w:r>
      <w:r>
        <w:rPr>
          <w:rFonts w:hint="eastAsia"/>
        </w:rPr>
        <w:t>                    </w:t>
      </w:r>
      <w:r>
        <w:t>]</w:t>
      </w:r>
      <w:r>
        <w:rPr>
          <w:rStyle w:val="FootnoteReference"/>
        </w:rPr>
        <w:footnoteReference w:id="5"/>
      </w:r>
    </w:p>
    <w:p w14:paraId="444B38C7" w14:textId="77777777" w:rsidR="007409E1" w:rsidRDefault="007409E1">
      <w:pPr>
        <w:pStyle w:val="MarginText"/>
        <w:tabs>
          <w:tab w:val="left" w:pos="1440"/>
        </w:tabs>
      </w:pPr>
    </w:p>
    <w:p w14:paraId="14CDF4ED" w14:textId="77777777" w:rsidR="007409E1" w:rsidRDefault="007409E1">
      <w:pPr>
        <w:pStyle w:val="MarginText"/>
        <w:tabs>
          <w:tab w:val="left" w:pos="1440"/>
        </w:tabs>
        <w:rPr>
          <w:b/>
        </w:rPr>
      </w:pPr>
      <w:r>
        <w:rPr>
          <w:b/>
        </w:rPr>
        <w:t>[name of account holder] as, or as agent for, the beneficial owner(s) of the Securities to which this certificate relates.</w:t>
      </w:r>
    </w:p>
    <w:p w14:paraId="3C39D847" w14:textId="77777777" w:rsidR="007409E1" w:rsidRDefault="007409E1">
      <w:pPr>
        <w:pStyle w:val="MarginText"/>
        <w:tabs>
          <w:tab w:val="left" w:pos="720"/>
        </w:tabs>
        <w:spacing w:after="0"/>
      </w:pPr>
      <w:r>
        <w:t>By:</w:t>
      </w:r>
      <w:r>
        <w:tab/>
        <w:t>……………………………………………………</w:t>
      </w:r>
    </w:p>
    <w:p w14:paraId="122AEDC5" w14:textId="77777777" w:rsidR="007409E1" w:rsidRDefault="007409E1">
      <w:pPr>
        <w:pStyle w:val="MarginText"/>
        <w:tabs>
          <w:tab w:val="left" w:pos="1440"/>
        </w:tabs>
        <w:ind w:left="720"/>
      </w:pPr>
      <w:r>
        <w:t>Authorised signatory</w:t>
      </w:r>
    </w:p>
    <w:p w14:paraId="13F0471B" w14:textId="77777777" w:rsidR="007409E1" w:rsidRDefault="007409E1">
      <w:pPr>
        <w:pStyle w:val="MarginText"/>
        <w:tabs>
          <w:tab w:val="left" w:pos="1440"/>
        </w:tabs>
        <w:jc w:val="center"/>
        <w:rPr>
          <w:b/>
        </w:rPr>
      </w:pPr>
      <w:r>
        <w:br w:type="page"/>
      </w:r>
      <w:r>
        <w:rPr>
          <w:b/>
        </w:rPr>
        <w:t>Schedule 3</w:t>
      </w:r>
    </w:p>
    <w:p w14:paraId="03E4948E" w14:textId="77777777" w:rsidR="007409E1" w:rsidRDefault="007409E1">
      <w:pPr>
        <w:pStyle w:val="MarginText"/>
        <w:tabs>
          <w:tab w:val="left" w:pos="1440"/>
        </w:tabs>
        <w:jc w:val="center"/>
        <w:rPr>
          <w:b/>
        </w:rPr>
      </w:pPr>
      <w:r>
        <w:rPr>
          <w:b/>
        </w:rPr>
        <w:t>Form of Euroclear/Clearstream, Luxembourg Certification</w:t>
      </w:r>
    </w:p>
    <w:p w14:paraId="7323B279" w14:textId="77777777" w:rsidR="007409E1" w:rsidRDefault="007409E1">
      <w:pPr>
        <w:pStyle w:val="MarginText"/>
        <w:tabs>
          <w:tab w:val="left" w:pos="1440"/>
        </w:tabs>
        <w:spacing w:after="0"/>
        <w:jc w:val="center"/>
        <w:rPr>
          <w:b/>
        </w:rPr>
      </w:pPr>
      <w:r>
        <w:rPr>
          <w:b/>
        </w:rPr>
        <w:t>ADIF-ALTA VELOCIDAD</w:t>
      </w:r>
    </w:p>
    <w:p w14:paraId="3B82B036" w14:textId="77777777" w:rsidR="007409E1" w:rsidRDefault="007409E1">
      <w:pPr>
        <w:pStyle w:val="MarginText"/>
        <w:tabs>
          <w:tab w:val="left" w:pos="1440"/>
        </w:tabs>
        <w:jc w:val="center"/>
      </w:pPr>
      <w:r>
        <w:t>(</w:t>
      </w:r>
      <w:r>
        <w:rPr>
          <w:i/>
        </w:rPr>
        <w:t>established in the Kingdom of Spain</w:t>
      </w:r>
      <w:r>
        <w:t>)</w:t>
      </w:r>
    </w:p>
    <w:p w14:paraId="1FAEE2F5" w14:textId="77777777" w:rsidR="007409E1" w:rsidRDefault="007409E1">
      <w:pPr>
        <w:pStyle w:val="MarginText"/>
        <w:tabs>
          <w:tab w:val="left" w:pos="1440"/>
        </w:tabs>
        <w:jc w:val="center"/>
        <w:rPr>
          <w:b/>
        </w:rPr>
      </w:pPr>
      <w:r>
        <w:rPr>
          <w:b/>
        </w:rPr>
        <w:t xml:space="preserve">EUR </w:t>
      </w:r>
      <w:r w:rsidR="00E828BA">
        <w:rPr>
          <w:b/>
        </w:rPr>
        <w:t>8</w:t>
      </w:r>
      <w:r>
        <w:rPr>
          <w:b/>
        </w:rPr>
        <w:t>,000,000,000</w:t>
      </w:r>
    </w:p>
    <w:p w14:paraId="13459498" w14:textId="77777777" w:rsidR="007409E1" w:rsidRDefault="007409E1">
      <w:pPr>
        <w:pStyle w:val="MarginText"/>
        <w:tabs>
          <w:tab w:val="left" w:pos="1440"/>
        </w:tabs>
        <w:jc w:val="center"/>
        <w:rPr>
          <w:b/>
        </w:rPr>
      </w:pPr>
      <w:r>
        <w:rPr>
          <w:b/>
        </w:rPr>
        <w:t>Euro Medium Term Note Programme</w:t>
      </w:r>
    </w:p>
    <w:p w14:paraId="6F62388C" w14:textId="77777777" w:rsidR="007409E1" w:rsidRDefault="007409E1">
      <w:pPr>
        <w:pStyle w:val="MarginText"/>
        <w:tabs>
          <w:tab w:val="left" w:pos="1440"/>
        </w:tabs>
      </w:pPr>
      <w:r>
        <w:t xml:space="preserve">This is to certify that, based solely on certifications we have received in writing, by tested telex or by electronic transmission from member organisations appearing in our records as persons being entitled to a portion of the principal amount set forth below (our </w:t>
      </w:r>
      <w:r>
        <w:rPr>
          <w:b/>
        </w:rPr>
        <w:t>"Member Organisations"</w:t>
      </w:r>
      <w:r>
        <w:t>) substantially to the effect set forth in the temporary global note issued in respect of the securities, as of the date hereof, [</w:t>
      </w:r>
      <w:r>
        <w:rPr>
          <w:i/>
        </w:rPr>
        <w:t>currency</w:t>
      </w:r>
      <w:r>
        <w:t>] [</w:t>
      </w:r>
      <w:r>
        <w:rPr>
          <w:i/>
        </w:rPr>
        <w:t>amount</w:t>
      </w:r>
      <w:r>
        <w:t>] principal amount of the above-captioned Securities (a) is owned by persons that are not citizens or residents of the United States, domestic partnerships, domestic corporations or any estate or trust the income of which is subject to United States Federal income taxation regardless of its source (</w:t>
      </w:r>
      <w:r>
        <w:rPr>
          <w:b/>
        </w:rPr>
        <w:t>"United States persons"</w:t>
      </w:r>
      <w:r>
        <w:t>), (b) is owned by United States persons that (i) are foreign branches of United States financial institutions (as defined in US Treasury Regulations section 1.165-12(c)(1)(v)) (</w:t>
      </w:r>
      <w:r>
        <w:rPr>
          <w:b/>
        </w:rPr>
        <w:t>"financial institutions"</w:t>
      </w:r>
      <w:r>
        <w:t>) purchasing for their own account or for resale, or (ii) acquired the Securities through foreign branches of United States financial institutions and who hold the Securities through such United States financial institutions on the date hereof (and in either case (i) or (ii), each such United States financial institution has agreed, on its own behalf or through its agent, that we may advise the Issuer or the Issuer's agent that it will comply with the requirements of section 165(j)(3)(A), (B) or (C) of the Internal Revenue Code of 1986, as amended, and the regulations thereunder), or (c) is owned by United States or foreign financial institutions for purposes of resale during the restricted period (as defined in US Treasury Regulations section 1.163-5(c)(2)(i)(D)(7)), and to the further effect that United States or foreign financial institutions described in Clause (c) (whether or not also described in Clause (a) or (b)) have certified that they have not acquired the Securities for purposes of resale directly or indirectly to a United States person or to a person within the United States or its possessions.</w:t>
      </w:r>
    </w:p>
    <w:p w14:paraId="26204EF1" w14:textId="77777777" w:rsidR="007409E1" w:rsidRDefault="007409E1">
      <w:pPr>
        <w:pStyle w:val="MarginText"/>
        <w:tabs>
          <w:tab w:val="left" w:pos="1440"/>
        </w:tabs>
      </w:pPr>
      <w:r>
        <w:t xml:space="preserve">If the Securities are of the category contemplated in section 230.903(c)(3) of Regulation S under the Securities Act of 1933, as amended (the </w:t>
      </w:r>
      <w:r>
        <w:rPr>
          <w:b/>
        </w:rPr>
        <w:t>"Act"</w:t>
      </w:r>
      <w:r>
        <w:t>), then this is also to certify with respect to the principal amount of Securities set forth above that, except as set forth below, we have received in writing, by tested telex or by electronic transmission, from our Member Organisations entitled to a portion of such principal amount, certifications with respect to such portion substantially to the effect set forth in the temporary global note issued in respect of the Securities.</w:t>
      </w:r>
    </w:p>
    <w:p w14:paraId="40814599" w14:textId="77777777" w:rsidR="007409E1" w:rsidRDefault="007409E1">
      <w:pPr>
        <w:pStyle w:val="MarginText"/>
        <w:tabs>
          <w:tab w:val="left" w:pos="1440"/>
        </w:tabs>
      </w:pPr>
      <w:r>
        <w:t>We further certify (1) that we are not making available herewith for exchange (or, if relevant, exercise of any rights or collection of any interest) any portion of the temporary global security excepted in such certifications and (2) that as of the date hereof we have not received any notification from any of our Member Organisations to the effect that the statements made by such Member Organisations with respect to any portion of the part submitted herewith for exchange (or, if relevant, exercise of any rights or collection of any interest) are no longer true and cannot be relied upon as of the date hereof.</w:t>
      </w:r>
    </w:p>
    <w:p w14:paraId="3A57D473" w14:textId="77777777" w:rsidR="007409E1" w:rsidRDefault="007409E1">
      <w:pPr>
        <w:pStyle w:val="MarginText"/>
        <w:tabs>
          <w:tab w:val="left" w:pos="1440"/>
        </w:tabs>
      </w:pPr>
      <w:r>
        <w:t>We understand that this certification is required in connection with certain tax laws and, if applicable, certain securities laws of the United States.  In connection therewith, if administrative or legal proceedings are commenced or threatened in connection with which this certification is or would be relevant, we irrevocably authorise you to produce this certification to any interested party in such proceedings.</w:t>
      </w:r>
    </w:p>
    <w:p w14:paraId="567E1FC2" w14:textId="77777777" w:rsidR="007409E1" w:rsidRDefault="007409E1">
      <w:pPr>
        <w:pStyle w:val="MarginText"/>
        <w:keepNext/>
        <w:tabs>
          <w:tab w:val="left" w:pos="1440"/>
        </w:tabs>
      </w:pPr>
      <w:r>
        <w:t>Dated: [</w:t>
      </w:r>
      <w:r>
        <w:rPr>
          <w:rFonts w:ascii="Wingdings" w:hAnsi="Wingdings"/>
        </w:rPr>
        <w:t></w:t>
      </w:r>
      <w:r>
        <w:rPr>
          <w:rFonts w:hint="eastAsia"/>
        </w:rPr>
        <w:t>                    </w:t>
      </w:r>
      <w:r>
        <w:t xml:space="preserve">] </w:t>
      </w:r>
    </w:p>
    <w:p w14:paraId="3F954977" w14:textId="77777777" w:rsidR="007409E1" w:rsidRDefault="007409E1">
      <w:pPr>
        <w:pStyle w:val="MarginText"/>
        <w:tabs>
          <w:tab w:val="left" w:pos="1440"/>
        </w:tabs>
        <w:rPr>
          <w:b/>
        </w:rPr>
      </w:pPr>
      <w:r>
        <w:rPr>
          <w:b/>
        </w:rPr>
        <w:t>Euroclear Bank SA/NV</w:t>
      </w:r>
    </w:p>
    <w:p w14:paraId="5D303AF6" w14:textId="77777777" w:rsidR="007409E1" w:rsidRDefault="007409E1">
      <w:pPr>
        <w:pStyle w:val="MarginText"/>
        <w:tabs>
          <w:tab w:val="left" w:pos="1440"/>
        </w:tabs>
        <w:rPr>
          <w:b/>
          <w:i/>
        </w:rPr>
      </w:pPr>
      <w:r>
        <w:rPr>
          <w:b/>
          <w:i/>
        </w:rPr>
        <w:t>or</w:t>
      </w:r>
    </w:p>
    <w:p w14:paraId="1E52DC51" w14:textId="77777777" w:rsidR="007409E1" w:rsidRDefault="007409E1">
      <w:pPr>
        <w:pStyle w:val="MarginText"/>
        <w:tabs>
          <w:tab w:val="left" w:pos="1440"/>
        </w:tabs>
        <w:rPr>
          <w:b/>
        </w:rPr>
      </w:pPr>
      <w:r>
        <w:rPr>
          <w:b/>
        </w:rPr>
        <w:t>Clearstream Banking, société anonyme, Luxembourg</w:t>
      </w:r>
    </w:p>
    <w:p w14:paraId="6BDAC6F2" w14:textId="77777777" w:rsidR="007409E1" w:rsidRDefault="007409E1">
      <w:pPr>
        <w:pStyle w:val="MarginText"/>
        <w:tabs>
          <w:tab w:val="left" w:pos="720"/>
        </w:tabs>
        <w:spacing w:after="0"/>
      </w:pPr>
      <w:r>
        <w:t>By:</w:t>
      </w:r>
      <w:r>
        <w:tab/>
        <w:t>……………………………………………………</w:t>
      </w:r>
    </w:p>
    <w:p w14:paraId="430F229B" w14:textId="77777777" w:rsidR="007409E1" w:rsidRDefault="007409E1">
      <w:pPr>
        <w:pStyle w:val="MarginText"/>
        <w:tabs>
          <w:tab w:val="left" w:pos="1440"/>
        </w:tabs>
        <w:ind w:left="720"/>
      </w:pPr>
      <w:r>
        <w:t>Authorised signatory</w:t>
      </w:r>
    </w:p>
    <w:p w14:paraId="36AF7557" w14:textId="77777777" w:rsidR="007409E1" w:rsidRDefault="007409E1">
      <w:pPr>
        <w:pStyle w:val="MarginText"/>
        <w:tabs>
          <w:tab w:val="left" w:pos="1440"/>
        </w:tabs>
      </w:pPr>
    </w:p>
    <w:p w14:paraId="04356D11" w14:textId="77777777" w:rsidR="007409E1" w:rsidRDefault="007409E1">
      <w:pPr>
        <w:pStyle w:val="MarginText"/>
        <w:tabs>
          <w:tab w:val="left" w:pos="1440"/>
        </w:tabs>
        <w:jc w:val="center"/>
        <w:rPr>
          <w:b/>
        </w:rPr>
      </w:pPr>
      <w:r>
        <w:br w:type="page"/>
      </w:r>
      <w:r>
        <w:rPr>
          <w:b/>
        </w:rPr>
        <w:t>[Schedule 4</w:t>
      </w:r>
    </w:p>
    <w:p w14:paraId="10A5CC37" w14:textId="77777777" w:rsidR="007409E1" w:rsidRDefault="007409E1">
      <w:pPr>
        <w:pStyle w:val="MarginText"/>
        <w:tabs>
          <w:tab w:val="left" w:pos="1440"/>
        </w:tabs>
        <w:jc w:val="center"/>
        <w:rPr>
          <w:b/>
        </w:rPr>
      </w:pPr>
      <w:r>
        <w:rPr>
          <w:b/>
        </w:rPr>
        <w:t>Terms and Conditions of the Notes]</w:t>
      </w:r>
    </w:p>
    <w:p w14:paraId="439825CF" w14:textId="77777777" w:rsidR="007409E1" w:rsidRDefault="007409E1">
      <w:pPr>
        <w:pStyle w:val="MarginText"/>
        <w:tabs>
          <w:tab w:val="left" w:pos="1440"/>
        </w:tabs>
      </w:pPr>
    </w:p>
    <w:p w14:paraId="3EEF4925" w14:textId="77777777" w:rsidR="007409E1" w:rsidRPr="00B606B1" w:rsidRDefault="007409E1">
      <w:pPr>
        <w:pStyle w:val="SchHead"/>
      </w:pPr>
      <w:r>
        <w:br w:type="page"/>
      </w:r>
      <w:bookmarkStart w:id="38" w:name="_Ref493567821"/>
      <w:bookmarkStart w:id="39" w:name="_Ref493567841"/>
      <w:bookmarkStart w:id="40" w:name="_Toc60859033"/>
      <w:r w:rsidRPr="00B606B1">
        <w:t>Form of Permanent Global Note</w:t>
      </w:r>
      <w:bookmarkEnd w:id="38"/>
      <w:bookmarkEnd w:id="39"/>
      <w:bookmarkEnd w:id="40"/>
    </w:p>
    <w:p w14:paraId="7CD5ED33" w14:textId="77777777" w:rsidR="007409E1" w:rsidRDefault="007409E1">
      <w:pPr>
        <w:pStyle w:val="MarginText"/>
        <w:tabs>
          <w:tab w:val="left" w:pos="1440"/>
        </w:tabs>
        <w:sectPr w:rsidR="007409E1">
          <w:footnotePr>
            <w:numFmt w:val="lowerLetter"/>
          </w:footnotePr>
          <w:endnotePr>
            <w:numFmt w:val="decimal"/>
          </w:endnotePr>
          <w:type w:val="continuous"/>
          <w:pgSz w:w="11909" w:h="16834" w:code="9"/>
          <w:pgMar w:top="1440" w:right="1440" w:bottom="1800" w:left="1440" w:header="720" w:footer="720" w:gutter="0"/>
          <w:cols w:space="720"/>
          <w:noEndnote/>
        </w:sectPr>
      </w:pPr>
      <w:r>
        <w:t>[ANY UNITED STATES PERSON WHO HOLDS THIS OBLIGATION WILL BE SUBJECT TO LIMITATIONS UNDER THE UNITED STATES INCOME TAX LAWS, INCLUDING THE LIMITATIONS PROVIDED IN SECTIONS 165(j) AND 1287(a) OF THE INTERNAL REVENUE CODE.]</w:t>
      </w:r>
      <w:r>
        <w:rPr>
          <w:rStyle w:val="FootnoteReference"/>
        </w:rPr>
        <w:footnoteReference w:id="6"/>
      </w:r>
    </w:p>
    <w:p w14:paraId="35F9B8C9" w14:textId="77777777" w:rsidR="007409E1" w:rsidRDefault="007409E1">
      <w:pPr>
        <w:pStyle w:val="MarginText"/>
        <w:tabs>
          <w:tab w:val="left" w:pos="1440"/>
        </w:tabs>
      </w:pPr>
      <w:r>
        <w:t xml:space="preserve"> </w:t>
      </w:r>
    </w:p>
    <w:p w14:paraId="4832C937" w14:textId="77777777" w:rsidR="007409E1" w:rsidRDefault="007409E1">
      <w:pPr>
        <w:pStyle w:val="MarginText"/>
        <w:tabs>
          <w:tab w:val="left" w:pos="1440"/>
        </w:tabs>
        <w:jc w:val="center"/>
        <w:rPr>
          <w:i/>
        </w:rPr>
      </w:pPr>
      <w:r>
        <w:rPr>
          <w:b/>
        </w:rPr>
        <w:t>ADIF-ALTA VELOCIDAD</w:t>
      </w:r>
      <w:r>
        <w:rPr>
          <w:b/>
        </w:rPr>
        <w:br/>
      </w:r>
      <w:r>
        <w:rPr>
          <w:i/>
        </w:rPr>
        <w:t>(established in the Kingdom of Spain)</w:t>
      </w:r>
    </w:p>
    <w:p w14:paraId="5F5E26C9" w14:textId="77777777" w:rsidR="007409E1" w:rsidRDefault="007409E1">
      <w:pPr>
        <w:pStyle w:val="MarginText"/>
        <w:tabs>
          <w:tab w:val="left" w:pos="1440"/>
        </w:tabs>
        <w:jc w:val="center"/>
        <w:rPr>
          <w:b/>
        </w:rPr>
      </w:pPr>
      <w:r>
        <w:rPr>
          <w:b/>
        </w:rPr>
        <w:t xml:space="preserve">EUR </w:t>
      </w:r>
      <w:r w:rsidR="00E828BA">
        <w:rPr>
          <w:b/>
        </w:rPr>
        <w:t>8</w:t>
      </w:r>
      <w:r>
        <w:rPr>
          <w:b/>
        </w:rPr>
        <w:t>,000,000,000</w:t>
      </w:r>
    </w:p>
    <w:p w14:paraId="3A02C4C3" w14:textId="77777777" w:rsidR="007409E1" w:rsidRDefault="007409E1">
      <w:pPr>
        <w:pStyle w:val="MarginText"/>
        <w:tabs>
          <w:tab w:val="left" w:pos="1440"/>
        </w:tabs>
        <w:jc w:val="center"/>
        <w:rPr>
          <w:b/>
        </w:rPr>
      </w:pPr>
      <w:r>
        <w:rPr>
          <w:b/>
        </w:rPr>
        <w:t>Euro Medium Term Note Programme</w:t>
      </w:r>
    </w:p>
    <w:p w14:paraId="17433B38" w14:textId="77777777" w:rsidR="007409E1" w:rsidRDefault="007409E1">
      <w:pPr>
        <w:pStyle w:val="MarginText"/>
        <w:tabs>
          <w:tab w:val="left" w:pos="1440"/>
        </w:tabs>
        <w:jc w:val="center"/>
        <w:rPr>
          <w:b/>
        </w:rPr>
      </w:pPr>
      <w:r>
        <w:rPr>
          <w:b/>
        </w:rPr>
        <w:t>PERMANENT GLOBAL NOTE</w:t>
      </w:r>
    </w:p>
    <w:p w14:paraId="094386AC" w14:textId="77777777" w:rsidR="007409E1" w:rsidRDefault="007409E1" w:rsidP="00E073F7">
      <w:pPr>
        <w:pStyle w:val="ScheduleL1"/>
        <w:numPr>
          <w:ilvl w:val="0"/>
          <w:numId w:val="33"/>
        </w:numPr>
        <w:rPr>
          <w:b/>
        </w:rPr>
      </w:pPr>
      <w:r>
        <w:rPr>
          <w:b/>
        </w:rPr>
        <w:t>Introduction</w:t>
      </w:r>
    </w:p>
    <w:p w14:paraId="7E923837" w14:textId="77777777" w:rsidR="007409E1" w:rsidRDefault="007409E1" w:rsidP="00E073F7">
      <w:pPr>
        <w:pStyle w:val="ScheduleL2"/>
        <w:numPr>
          <w:ilvl w:val="1"/>
          <w:numId w:val="33"/>
        </w:numPr>
        <w:rPr>
          <w:b/>
        </w:rPr>
      </w:pPr>
      <w:r>
        <w:rPr>
          <w:b/>
        </w:rPr>
        <w:t>The Notes</w:t>
      </w:r>
    </w:p>
    <w:p w14:paraId="4A839DFA" w14:textId="77777777" w:rsidR="007409E1" w:rsidRDefault="007409E1">
      <w:pPr>
        <w:pStyle w:val="BodyTextIndent3"/>
      </w:pPr>
      <w:r>
        <w:t xml:space="preserve">This Global Note is issued in respect of the notes (the </w:t>
      </w:r>
      <w:r>
        <w:rPr>
          <w:b/>
        </w:rPr>
        <w:t>"Notes"</w:t>
      </w:r>
      <w:r>
        <w:t xml:space="preserve">) of ADIF-Alta Velocidad (the </w:t>
      </w:r>
      <w:r>
        <w:rPr>
          <w:b/>
        </w:rPr>
        <w:t>"Issuer"</w:t>
      </w:r>
      <w:r>
        <w:t xml:space="preserve">), described in the final terms (the </w:t>
      </w:r>
      <w:r>
        <w:rPr>
          <w:b/>
        </w:rPr>
        <w:t>"Final Terms"</w:t>
      </w:r>
      <w:r>
        <w:t>) or drawdown prospectus (</w:t>
      </w:r>
      <w:r>
        <w:rPr>
          <w:b/>
        </w:rPr>
        <w:t>"Drawdown Prospectus"</w:t>
      </w:r>
      <w:r>
        <w:t>) a copy of which is annexed hereto.  If a Drawdown Prospectus is annexed hereto, each reference in this Global Note to "Final Terms" shall be read and construed as a reference to the final terms of the Notes set out in such Drawdown Prospectus.  The Notes:</w:t>
      </w:r>
    </w:p>
    <w:p w14:paraId="36504D5F" w14:textId="77777777" w:rsidR="007409E1" w:rsidRDefault="007409E1">
      <w:pPr>
        <w:pStyle w:val="ScheduleL3"/>
      </w:pPr>
      <w:r>
        <w:rPr>
          <w:i/>
        </w:rPr>
        <w:t>Deed of Covenant</w:t>
      </w:r>
      <w:r>
        <w:t xml:space="preserve"> (insofar as they are represented by this Global Note) have the benefit of a deed of covenant dated </w:t>
      </w:r>
      <w:r w:rsidR="00C43165">
        <w:t>11</w:t>
      </w:r>
      <w:r w:rsidR="00BC16C1">
        <w:t xml:space="preserve"> April </w:t>
      </w:r>
      <w:r w:rsidR="005A5B0F" w:rsidRPr="005A5B0F">
        <w:t xml:space="preserve">2023 </w:t>
      </w:r>
      <w:r>
        <w:t xml:space="preserve">(the </w:t>
      </w:r>
      <w:r>
        <w:rPr>
          <w:b/>
        </w:rPr>
        <w:t>"Deed of Covenant"</w:t>
      </w:r>
      <w:r>
        <w:t>) executed by the Issuer; and</w:t>
      </w:r>
    </w:p>
    <w:p w14:paraId="41B50F47" w14:textId="77777777" w:rsidR="007409E1" w:rsidRDefault="007409E1">
      <w:pPr>
        <w:pStyle w:val="ScheduleL3"/>
      </w:pPr>
      <w:r>
        <w:rPr>
          <w:i/>
        </w:rPr>
        <w:t>Agency Agreement</w:t>
      </w:r>
      <w:r>
        <w:t xml:space="preserve"> are the subject of an amended and restated fiscal agency agreement dated </w:t>
      </w:r>
      <w:r w:rsidR="00C43165">
        <w:t>11</w:t>
      </w:r>
      <w:r w:rsidR="00BC16C1">
        <w:t xml:space="preserve"> April </w:t>
      </w:r>
      <w:r w:rsidR="005A5B0F" w:rsidRPr="005A5B0F">
        <w:t>2023</w:t>
      </w:r>
      <w:r>
        <w:t xml:space="preserve">, as the same may be amended, restated, supplemented or replaced from time to time (the </w:t>
      </w:r>
      <w:r>
        <w:rPr>
          <w:b/>
        </w:rPr>
        <w:t>"Agency Agreement"</w:t>
      </w:r>
      <w:r>
        <w:t xml:space="preserve">) made between the Issuer, BNP Paribas, Luxembourg Branch as fiscal agent (the </w:t>
      </w:r>
      <w:r>
        <w:rPr>
          <w:b/>
        </w:rPr>
        <w:t>"Fiscal Agent"</w:t>
      </w:r>
      <w:r>
        <w:t xml:space="preserve">, which expression includes any successor fiscal agent appointed from time to time in connection with the Notes) and the other paying agents named therein (together with the Fiscal Agent, the </w:t>
      </w:r>
      <w:r>
        <w:rPr>
          <w:b/>
        </w:rPr>
        <w:t>"Paying Agents"</w:t>
      </w:r>
      <w:r>
        <w:t>, which expression includes any additional or successor paying agents appointed from time to time in connection with the Notes).</w:t>
      </w:r>
    </w:p>
    <w:p w14:paraId="5A17E17F" w14:textId="77777777" w:rsidR="007409E1" w:rsidRDefault="007409E1" w:rsidP="00E073F7">
      <w:pPr>
        <w:pStyle w:val="ScheduleL2"/>
        <w:numPr>
          <w:ilvl w:val="1"/>
          <w:numId w:val="33"/>
        </w:numPr>
        <w:rPr>
          <w:b/>
        </w:rPr>
      </w:pPr>
      <w:r>
        <w:rPr>
          <w:b/>
        </w:rPr>
        <w:t>Construction</w:t>
      </w:r>
    </w:p>
    <w:p w14:paraId="6132A2A5" w14:textId="77777777" w:rsidR="007409E1" w:rsidRDefault="007409E1">
      <w:pPr>
        <w:pStyle w:val="BodyTextIndent3"/>
      </w:pPr>
      <w:r>
        <w:t>All references in this Global Note to an agreement, instrument or other document (including the Agency Agreement and the Deed of Covenant) shall be construed as a reference to that agreement, instrument or other document as the same may be amended, supplemented, replaced or novated from time to time provided that, in the case of any amendment, supplement, replacement or novation made after the date hereof, it is made in accordance with the Conditions.  Headings and sub-headings are for ease of reference only and shall not affect the construction of this Global Note.</w:t>
      </w:r>
    </w:p>
    <w:p w14:paraId="6E968827" w14:textId="77777777" w:rsidR="007409E1" w:rsidRDefault="007409E1" w:rsidP="00E073F7">
      <w:pPr>
        <w:pStyle w:val="ScheduleL2"/>
        <w:keepNext/>
        <w:numPr>
          <w:ilvl w:val="1"/>
          <w:numId w:val="33"/>
        </w:numPr>
        <w:rPr>
          <w:b/>
        </w:rPr>
      </w:pPr>
      <w:r>
        <w:rPr>
          <w:b/>
        </w:rPr>
        <w:t>References to Conditions</w:t>
      </w:r>
    </w:p>
    <w:p w14:paraId="1FF235CF" w14:textId="77777777" w:rsidR="007409E1" w:rsidRDefault="007409E1">
      <w:pPr>
        <w:pStyle w:val="BodyTextIndent3"/>
      </w:pPr>
      <w:r>
        <w:t>Any reference herein to the "Conditions" is to the Terms and Conditions of the Notes set out in schedule 2 (</w:t>
      </w:r>
      <w:r>
        <w:rPr>
          <w:i/>
        </w:rPr>
        <w:t>Terms and conditions of the notes</w:t>
      </w:r>
      <w:r>
        <w:t>) hereto, as completed by the Final Terms, and any reference to a numbered "Condition" is to the correspondingly numbered provision thereof.  Words and expressions defined in the Conditions shall have the same meanings when used in this Global Note.</w:t>
      </w:r>
    </w:p>
    <w:p w14:paraId="2A070092" w14:textId="77777777" w:rsidR="007409E1" w:rsidRDefault="007409E1" w:rsidP="00E073F7">
      <w:pPr>
        <w:pStyle w:val="ScheduleL1"/>
        <w:numPr>
          <w:ilvl w:val="0"/>
          <w:numId w:val="33"/>
        </w:numPr>
        <w:rPr>
          <w:b/>
        </w:rPr>
      </w:pPr>
      <w:r>
        <w:rPr>
          <w:b/>
        </w:rPr>
        <w:t>Promise to pay</w:t>
      </w:r>
    </w:p>
    <w:p w14:paraId="69ADA79F" w14:textId="77777777" w:rsidR="007409E1" w:rsidRDefault="007409E1" w:rsidP="00E073F7">
      <w:pPr>
        <w:pStyle w:val="ScheduleL2"/>
        <w:numPr>
          <w:ilvl w:val="1"/>
          <w:numId w:val="33"/>
        </w:numPr>
        <w:rPr>
          <w:b/>
        </w:rPr>
      </w:pPr>
      <w:r>
        <w:rPr>
          <w:b/>
        </w:rPr>
        <w:t>Pay to bearer</w:t>
      </w:r>
    </w:p>
    <w:p w14:paraId="46045CA6" w14:textId="77777777" w:rsidR="007409E1" w:rsidRDefault="007409E1">
      <w:pPr>
        <w:pStyle w:val="BodyTextIndent3"/>
      </w:pPr>
      <w:r>
        <w:t>The Issuer, for value received, promises to pay to the bearer of this Global Note, in respect of each Note represented by this Global Note, the Redemption Amount on the Maturity Date or on such earlier date or dates as the same may become payable in accordance with the Conditions (or to pay such other amounts of principal on such dates as may be specified in the Final Terms), and to pay interest on each such Note on the dates and in the manner specified in the Conditions, together with any additional amounts payable in accordance with the Conditions, all subject to and in accordance with the Conditions.</w:t>
      </w:r>
    </w:p>
    <w:p w14:paraId="306316A3" w14:textId="77777777" w:rsidR="007409E1" w:rsidRDefault="007409E1" w:rsidP="00E073F7">
      <w:pPr>
        <w:pStyle w:val="ScheduleL2"/>
        <w:numPr>
          <w:ilvl w:val="1"/>
          <w:numId w:val="33"/>
        </w:numPr>
        <w:rPr>
          <w:b/>
        </w:rPr>
      </w:pPr>
      <w:r>
        <w:rPr>
          <w:b/>
        </w:rPr>
        <w:t>NGN Principal Amount</w:t>
      </w:r>
    </w:p>
    <w:p w14:paraId="646825E2" w14:textId="77777777" w:rsidR="007409E1" w:rsidRDefault="007409E1">
      <w:pPr>
        <w:pStyle w:val="BodyTextIndent3"/>
      </w:pPr>
      <w:r>
        <w:t xml:space="preserve">If the Final Terms specify that the New Global Note form is applicable, this Global Note shall be a </w:t>
      </w:r>
      <w:r>
        <w:rPr>
          <w:b/>
        </w:rPr>
        <w:t>"New Global Note"</w:t>
      </w:r>
      <w:r>
        <w:t xml:space="preserve"> or </w:t>
      </w:r>
      <w:r>
        <w:rPr>
          <w:b/>
        </w:rPr>
        <w:t>"NGN"</w:t>
      </w:r>
      <w:r>
        <w:t xml:space="preserve"> and the principal amount of Notes represented by this Global Note shall be the aggregate amount from time to time entered in the records of both ICSDs.  The records of the ICSDs (which expression in this Global Note means the records that each ICSD holds for its customers which reflect the amount of such customers' interests in the Notes (but excluding any interest in any Notes of one ICSD shown in the records of another ICSD)) shall be conclusive evidence of the principal amount of Notes represented by this Global Note and, for these purposes, a statement issued by an ICSD (which statement shall be made available to the bearer upon request) stating the principal amount of Notes represented by this Global Note at any time shall be conclusive evidence of the records of the ICSD at that time.</w:t>
      </w:r>
    </w:p>
    <w:p w14:paraId="0A823190" w14:textId="77777777" w:rsidR="007409E1" w:rsidRDefault="007409E1" w:rsidP="00E073F7">
      <w:pPr>
        <w:pStyle w:val="ScheduleL2"/>
        <w:numPr>
          <w:ilvl w:val="1"/>
          <w:numId w:val="33"/>
        </w:numPr>
        <w:rPr>
          <w:b/>
        </w:rPr>
      </w:pPr>
      <w:r>
        <w:rPr>
          <w:b/>
        </w:rPr>
        <w:t>CGN Principal Amount</w:t>
      </w:r>
    </w:p>
    <w:p w14:paraId="3FB4085A" w14:textId="77777777" w:rsidR="007409E1" w:rsidRDefault="007409E1">
      <w:pPr>
        <w:pStyle w:val="BodyTextIndent3"/>
      </w:pPr>
      <w:r>
        <w:t xml:space="preserve">If the Final Terms specify that the New Global Note form is not applicable, this Global Note shall be a </w:t>
      </w:r>
      <w:r>
        <w:rPr>
          <w:b/>
        </w:rPr>
        <w:t>"Classic Global Note"</w:t>
      </w:r>
      <w:r>
        <w:t xml:space="preserve"> or </w:t>
      </w:r>
      <w:r>
        <w:rPr>
          <w:b/>
        </w:rPr>
        <w:t>"CGN"</w:t>
      </w:r>
      <w:r>
        <w:t xml:space="preserve"> and the principal amount of Notes represented by this Global Note shall be the amount stated in the Final Terms or, if lower, the principal amount most recently entered by or on behalf of the Issuer in the relevant column in schedule 1 (</w:t>
      </w:r>
      <w:r>
        <w:rPr>
          <w:i/>
        </w:rPr>
        <w:t>Payments, Exchanges Against Temporary Global Note, Delivery of Definitive Notes and Cancellation of Notes</w:t>
      </w:r>
      <w:r>
        <w:t xml:space="preserve">).  </w:t>
      </w:r>
    </w:p>
    <w:p w14:paraId="78B13085" w14:textId="77777777" w:rsidR="007409E1" w:rsidRDefault="007409E1" w:rsidP="00E073F7">
      <w:pPr>
        <w:pStyle w:val="ScheduleL1"/>
        <w:numPr>
          <w:ilvl w:val="0"/>
          <w:numId w:val="33"/>
        </w:numPr>
        <w:rPr>
          <w:b/>
        </w:rPr>
      </w:pPr>
      <w:r>
        <w:rPr>
          <w:b/>
        </w:rPr>
        <w:t>Negotiability</w:t>
      </w:r>
    </w:p>
    <w:p w14:paraId="409F57A0" w14:textId="77777777" w:rsidR="007409E1" w:rsidRDefault="007409E1">
      <w:pPr>
        <w:pStyle w:val="BodyTextIndent2"/>
      </w:pPr>
      <w:r>
        <w:t>This Global Note is negotiable and, accordingly, title to this Global Note shall pass by delivery.</w:t>
      </w:r>
    </w:p>
    <w:p w14:paraId="3BF171F6" w14:textId="77777777" w:rsidR="007409E1" w:rsidRDefault="007409E1" w:rsidP="00E073F7">
      <w:pPr>
        <w:pStyle w:val="ScheduleL1"/>
        <w:numPr>
          <w:ilvl w:val="0"/>
          <w:numId w:val="33"/>
        </w:numPr>
      </w:pPr>
      <w:r>
        <w:rPr>
          <w:b/>
        </w:rPr>
        <w:t>Exchange</w:t>
      </w:r>
    </w:p>
    <w:p w14:paraId="38ADC63B" w14:textId="77777777" w:rsidR="007409E1" w:rsidRDefault="007409E1">
      <w:pPr>
        <w:pStyle w:val="BodyTextIndent2"/>
      </w:pPr>
      <w:r>
        <w:t>This Global Note will become exchangeable, in whole but not in part only and at the request of the bearer of this Global Note, for Definitive Notes (which expression has the meaning given in the Agency Agreement) in accordance with the Agency Agreement if either of the following events occurs:</w:t>
      </w:r>
    </w:p>
    <w:p w14:paraId="7D9A936E" w14:textId="77777777" w:rsidR="007409E1" w:rsidRDefault="007409E1" w:rsidP="00E073F7">
      <w:pPr>
        <w:pStyle w:val="ScheduleL2"/>
        <w:numPr>
          <w:ilvl w:val="1"/>
          <w:numId w:val="33"/>
        </w:numPr>
        <w:tabs>
          <w:tab w:val="left" w:pos="1440"/>
        </w:tabs>
      </w:pPr>
      <w:r>
        <w:t xml:space="preserve">Closure of clearing systems </w:t>
      </w:r>
    </w:p>
    <w:p w14:paraId="2E16E689" w14:textId="77777777" w:rsidR="007409E1" w:rsidRDefault="007409E1">
      <w:pPr>
        <w:pStyle w:val="BodyTextIndent3"/>
      </w:pPr>
      <w:r>
        <w:t>Euroclear Bank SA/NV  (</w:t>
      </w:r>
      <w:r>
        <w:rPr>
          <w:b/>
        </w:rPr>
        <w:t>"Euroclear"</w:t>
      </w:r>
      <w:r>
        <w:t>) or Clearstream Banking, societe anonyme, Luxembourg (</w:t>
      </w:r>
      <w:r>
        <w:rPr>
          <w:b/>
        </w:rPr>
        <w:t>"Clearstream, Luxembourg"</w:t>
      </w:r>
      <w:r>
        <w:t xml:space="preserve">, together with Euroclear, the international central securities depositaries or </w:t>
      </w:r>
      <w:r>
        <w:rPr>
          <w:b/>
        </w:rPr>
        <w:t>"ICSDs"</w:t>
      </w:r>
      <w:r>
        <w:t>) or any other relevant clearing system is closed for business for a continuous period of 14 days (other than by reason of legal holidays) or announces an intention permanently to cease business; or</w:t>
      </w:r>
    </w:p>
    <w:p w14:paraId="3F96EE1C" w14:textId="77777777" w:rsidR="007409E1" w:rsidRDefault="007409E1" w:rsidP="00E073F7">
      <w:pPr>
        <w:pStyle w:val="ScheduleL2"/>
        <w:numPr>
          <w:ilvl w:val="1"/>
          <w:numId w:val="33"/>
        </w:numPr>
        <w:tabs>
          <w:tab w:val="left" w:pos="1440"/>
        </w:tabs>
      </w:pPr>
      <w:r>
        <w:t xml:space="preserve">Event of Default </w:t>
      </w:r>
    </w:p>
    <w:p w14:paraId="1C3987EF" w14:textId="77777777" w:rsidR="007409E1" w:rsidRDefault="007409E1">
      <w:pPr>
        <w:pStyle w:val="BodyTextIndent3"/>
      </w:pPr>
      <w:r>
        <w:t>Any of the circumstances described in Condition 11 (</w:t>
      </w:r>
      <w:r>
        <w:rPr>
          <w:i/>
        </w:rPr>
        <w:t>Events of Default</w:t>
      </w:r>
      <w:r>
        <w:t>) occurs.</w:t>
      </w:r>
    </w:p>
    <w:p w14:paraId="6620948B" w14:textId="77777777" w:rsidR="007409E1" w:rsidRDefault="007409E1" w:rsidP="00E073F7">
      <w:pPr>
        <w:pStyle w:val="ScheduleL1"/>
        <w:numPr>
          <w:ilvl w:val="0"/>
          <w:numId w:val="33"/>
        </w:numPr>
        <w:rPr>
          <w:b/>
        </w:rPr>
      </w:pPr>
      <w:r>
        <w:rPr>
          <w:b/>
        </w:rPr>
        <w:t>Delivery of definitive notes</w:t>
      </w:r>
    </w:p>
    <w:p w14:paraId="0AEF8598" w14:textId="77777777" w:rsidR="007409E1" w:rsidRDefault="007409E1">
      <w:pPr>
        <w:pStyle w:val="BodyTextIndent"/>
      </w:pPr>
      <w:r>
        <w:t>Whenever this Global Note is to be exchanged for Definitive Notes, the Issuer shall procure the prompt delivery (free of charge to the bearer) of such Definitive Notes, duly authenticated and with Coupons and Talons attached (if so specified in the Final Terms), in an aggregate principal amount equal to the principal amount of Notes represented by this Global Note to the bearer of this Global Note against the surrender of this Global Note to or to the order of the Fiscal Agent within 30 days of the bearer requesting such exchange.</w:t>
      </w:r>
    </w:p>
    <w:p w14:paraId="21E4DDAE" w14:textId="77777777" w:rsidR="007409E1" w:rsidRDefault="007409E1" w:rsidP="00E073F7">
      <w:pPr>
        <w:pStyle w:val="ScheduleL1"/>
        <w:numPr>
          <w:ilvl w:val="0"/>
          <w:numId w:val="33"/>
        </w:numPr>
        <w:rPr>
          <w:b/>
        </w:rPr>
      </w:pPr>
      <w:r>
        <w:rPr>
          <w:b/>
        </w:rPr>
        <w:t>Failure to deliver definitive notes or to repay</w:t>
      </w:r>
    </w:p>
    <w:p w14:paraId="64191E4C" w14:textId="77777777" w:rsidR="007409E1" w:rsidRDefault="007409E1">
      <w:pPr>
        <w:pStyle w:val="BodyTextIndent"/>
      </w:pPr>
      <w:r>
        <w:t>If:</w:t>
      </w:r>
    </w:p>
    <w:p w14:paraId="32AC2B64" w14:textId="77777777" w:rsidR="007409E1" w:rsidRDefault="007409E1" w:rsidP="00E073F7">
      <w:pPr>
        <w:pStyle w:val="ScheduleL2"/>
        <w:numPr>
          <w:ilvl w:val="1"/>
          <w:numId w:val="33"/>
        </w:numPr>
        <w:tabs>
          <w:tab w:val="left" w:pos="1440"/>
        </w:tabs>
      </w:pPr>
      <w:bookmarkStart w:id="41" w:name="_Ref493572810"/>
      <w:r>
        <w:t>Failure to deliver Definitive Notes</w:t>
      </w:r>
      <w:bookmarkEnd w:id="41"/>
      <w:r>
        <w:t xml:space="preserve"> </w:t>
      </w:r>
    </w:p>
    <w:p w14:paraId="120976BE" w14:textId="77777777" w:rsidR="007409E1" w:rsidRDefault="007409E1">
      <w:pPr>
        <w:pStyle w:val="BodyTextIndent3"/>
      </w:pPr>
      <w:r>
        <w:t>Definitive Notes have not been delivered in accordance with paragraph 5 (</w:t>
      </w:r>
      <w:r>
        <w:rPr>
          <w:i/>
        </w:rPr>
        <w:t>Delivery of definitive notes</w:t>
      </w:r>
      <w:r>
        <w:t>) above by 5.00pm (London time) on the thirtieth day after the bearer has requested exchange of this Global Note for Definitive Notes; or</w:t>
      </w:r>
    </w:p>
    <w:p w14:paraId="101D2195" w14:textId="77777777" w:rsidR="007409E1" w:rsidRDefault="007409E1" w:rsidP="00E073F7">
      <w:pPr>
        <w:pStyle w:val="ScheduleL2"/>
        <w:numPr>
          <w:ilvl w:val="1"/>
          <w:numId w:val="33"/>
        </w:numPr>
      </w:pPr>
      <w:bookmarkStart w:id="42" w:name="_Ref493572837"/>
      <w:r>
        <w:t>Temporary global note becomes void</w:t>
      </w:r>
      <w:bookmarkEnd w:id="42"/>
      <w:r>
        <w:t xml:space="preserve"> </w:t>
      </w:r>
    </w:p>
    <w:p w14:paraId="489DFA57" w14:textId="77777777" w:rsidR="007409E1" w:rsidRDefault="007409E1">
      <w:pPr>
        <w:pStyle w:val="BodyTextIndent3"/>
      </w:pPr>
      <w:r>
        <w:t>This Global Note was originally issued in exchange for part only of a temporary global note representing the Notes and such temporary global note becomes void in accordance with its terms; or</w:t>
      </w:r>
    </w:p>
    <w:p w14:paraId="6F99B1B2" w14:textId="77777777" w:rsidR="007409E1" w:rsidRDefault="007409E1" w:rsidP="00E073F7">
      <w:pPr>
        <w:pStyle w:val="ScheduleL2"/>
        <w:numPr>
          <w:ilvl w:val="1"/>
          <w:numId w:val="33"/>
        </w:numPr>
        <w:tabs>
          <w:tab w:val="left" w:pos="1440"/>
        </w:tabs>
      </w:pPr>
      <w:bookmarkStart w:id="43" w:name="_Ref493572864"/>
      <w:r>
        <w:t>Payment default</w:t>
      </w:r>
      <w:bookmarkEnd w:id="43"/>
      <w:r>
        <w:t xml:space="preserve"> </w:t>
      </w:r>
    </w:p>
    <w:p w14:paraId="7642EE8D" w14:textId="77777777" w:rsidR="007409E1" w:rsidRDefault="007409E1">
      <w:pPr>
        <w:pStyle w:val="BodyTextIndent3"/>
      </w:pPr>
      <w:r>
        <w:t>This Global Note (or any part hereof) has become due and payable in accordance with the Conditions or the date for final redemption of this Global Note has occurred and, in either case, payment in full of the amount of principal falling due with all accrued interest thereon has not been made to the bearer in accordance with the terms of this Global Note on the due date for payment,</w:t>
      </w:r>
    </w:p>
    <w:p w14:paraId="00C67EDA" w14:textId="77777777" w:rsidR="007409E1" w:rsidRDefault="007409E1">
      <w:pPr>
        <w:pStyle w:val="BodyTextIndent3"/>
        <w:ind w:left="720"/>
      </w:pPr>
      <w:r>
        <w:t xml:space="preserve">then this Global Note (including the obligation to deliver Definitive Notes) will become void at 5.00pm (London time) on such thirtieth day (in the case of </w:t>
      </w:r>
      <w:r>
        <w:fldChar w:fldCharType="begin"/>
      </w:r>
      <w:r>
        <w:instrText xml:space="preserve"> REF _Ref493572810 \w \h </w:instrText>
      </w:r>
      <w:r>
        <w:fldChar w:fldCharType="separate"/>
      </w:r>
      <w:r w:rsidR="007465B3">
        <w:t>6(a)</w:t>
      </w:r>
      <w:r>
        <w:fldChar w:fldCharType="end"/>
      </w:r>
      <w:r>
        <w:t> (</w:t>
      </w:r>
      <w:r>
        <w:rPr>
          <w:i/>
        </w:rPr>
        <w:fldChar w:fldCharType="begin"/>
      </w:r>
      <w:r>
        <w:rPr>
          <w:i/>
        </w:rPr>
        <w:instrText xml:space="preserve"> REF _Ref493572810 \h  \* MERGEFORMAT </w:instrText>
      </w:r>
      <w:r>
        <w:rPr>
          <w:i/>
        </w:rPr>
      </w:r>
      <w:r>
        <w:rPr>
          <w:i/>
        </w:rPr>
        <w:fldChar w:fldCharType="separate"/>
      </w:r>
      <w:r w:rsidR="007465B3" w:rsidRPr="007465B3">
        <w:rPr>
          <w:i/>
        </w:rPr>
        <w:t>Failure to deliver Definitive Notes</w:t>
      </w:r>
      <w:r>
        <w:rPr>
          <w:i/>
        </w:rPr>
        <w:fldChar w:fldCharType="end"/>
      </w:r>
      <w:r>
        <w:t xml:space="preserve">)) or at 5.00pm (London time) on the date on which such temporary global note becomes void (in the case of </w:t>
      </w:r>
      <w:r>
        <w:fldChar w:fldCharType="begin"/>
      </w:r>
      <w:r>
        <w:instrText xml:space="preserve"> REF _Ref493572837 \w \h </w:instrText>
      </w:r>
      <w:r>
        <w:fldChar w:fldCharType="separate"/>
      </w:r>
      <w:r w:rsidR="007465B3">
        <w:t>6(b)</w:t>
      </w:r>
      <w:r>
        <w:fldChar w:fldCharType="end"/>
      </w:r>
      <w:r>
        <w:t> (</w:t>
      </w:r>
      <w:r>
        <w:rPr>
          <w:i/>
        </w:rPr>
        <w:fldChar w:fldCharType="begin"/>
      </w:r>
      <w:r>
        <w:rPr>
          <w:i/>
        </w:rPr>
        <w:instrText xml:space="preserve"> REF _Ref493572837 \h  \* MERGEFORMAT </w:instrText>
      </w:r>
      <w:r>
        <w:rPr>
          <w:i/>
        </w:rPr>
      </w:r>
      <w:r>
        <w:rPr>
          <w:i/>
        </w:rPr>
        <w:fldChar w:fldCharType="separate"/>
      </w:r>
      <w:r w:rsidR="007465B3" w:rsidRPr="007465B3">
        <w:rPr>
          <w:i/>
        </w:rPr>
        <w:t>Temporary global note becomes void</w:t>
      </w:r>
      <w:r>
        <w:rPr>
          <w:i/>
        </w:rPr>
        <w:fldChar w:fldCharType="end"/>
      </w:r>
      <w:r>
        <w:t xml:space="preserve">)) or at 5.00pm (London time) on such due date (in the case of </w:t>
      </w:r>
      <w:r>
        <w:fldChar w:fldCharType="begin"/>
      </w:r>
      <w:r>
        <w:instrText xml:space="preserve"> REF _Ref493572864 \w \h </w:instrText>
      </w:r>
      <w:r>
        <w:fldChar w:fldCharType="separate"/>
      </w:r>
      <w:r w:rsidR="007465B3">
        <w:t>6(c)</w:t>
      </w:r>
      <w:r>
        <w:fldChar w:fldCharType="end"/>
      </w:r>
      <w:r>
        <w:t xml:space="preserve"> (</w:t>
      </w:r>
      <w:r>
        <w:rPr>
          <w:i/>
        </w:rPr>
        <w:fldChar w:fldCharType="begin"/>
      </w:r>
      <w:r>
        <w:rPr>
          <w:i/>
        </w:rPr>
        <w:instrText xml:space="preserve"> REF _Ref493572864 \h  \* MERGEFORMAT </w:instrText>
      </w:r>
      <w:r>
        <w:rPr>
          <w:i/>
        </w:rPr>
      </w:r>
      <w:r>
        <w:rPr>
          <w:i/>
        </w:rPr>
        <w:fldChar w:fldCharType="separate"/>
      </w:r>
      <w:r w:rsidR="007465B3" w:rsidRPr="007465B3">
        <w:rPr>
          <w:i/>
        </w:rPr>
        <w:t>Payment default</w:t>
      </w:r>
      <w:r>
        <w:rPr>
          <w:i/>
        </w:rPr>
        <w:fldChar w:fldCharType="end"/>
      </w:r>
      <w:r>
        <w:t>)) and the bearer of this Global Note will have no further rights hereunder (but without prejudice to the rights which the bearer of this Global Note or others may have under the Deed of Covenant).  The Deed of Covenant has been deposited at the Specified Office of the Fiscal Agent and a copy of it may be inspected at the Specified Office of each Paying Agent.</w:t>
      </w:r>
    </w:p>
    <w:p w14:paraId="59FD2CC3" w14:textId="77777777" w:rsidR="007409E1" w:rsidRDefault="007409E1" w:rsidP="00E073F7">
      <w:pPr>
        <w:pStyle w:val="ScheduleL1"/>
        <w:numPr>
          <w:ilvl w:val="0"/>
          <w:numId w:val="33"/>
        </w:numPr>
        <w:tabs>
          <w:tab w:val="left" w:pos="1440"/>
        </w:tabs>
        <w:rPr>
          <w:b/>
        </w:rPr>
      </w:pPr>
      <w:r>
        <w:rPr>
          <w:b/>
        </w:rPr>
        <w:t>Writing</w:t>
      </w:r>
      <w:r>
        <w:t xml:space="preserve"> </w:t>
      </w:r>
      <w:r>
        <w:rPr>
          <w:b/>
        </w:rPr>
        <w:t>down</w:t>
      </w:r>
    </w:p>
    <w:p w14:paraId="60AB1E30" w14:textId="77777777" w:rsidR="007409E1" w:rsidRDefault="007409E1">
      <w:pPr>
        <w:pStyle w:val="BodyTextIndent"/>
      </w:pPr>
      <w:r>
        <w:t>On each occasion on which:</w:t>
      </w:r>
    </w:p>
    <w:p w14:paraId="1FB20B94" w14:textId="77777777" w:rsidR="007409E1" w:rsidRDefault="007409E1">
      <w:pPr>
        <w:pStyle w:val="ScheduleL2"/>
      </w:pPr>
      <w:r>
        <w:rPr>
          <w:i/>
        </w:rPr>
        <w:t>Payment of principal</w:t>
      </w:r>
      <w:r>
        <w:t>: a payment of principal is made in respect of this Global Note;</w:t>
      </w:r>
    </w:p>
    <w:p w14:paraId="0C72F513" w14:textId="77777777" w:rsidR="007409E1" w:rsidRDefault="007409E1">
      <w:pPr>
        <w:pStyle w:val="ScheduleL2"/>
      </w:pPr>
      <w:r>
        <w:rPr>
          <w:i/>
        </w:rPr>
        <w:t>Definitive Notes</w:t>
      </w:r>
      <w:r>
        <w:t>: Definitive Notes are delivered; or</w:t>
      </w:r>
    </w:p>
    <w:p w14:paraId="3130983E" w14:textId="77777777" w:rsidR="007409E1" w:rsidRDefault="007409E1">
      <w:pPr>
        <w:pStyle w:val="ScheduleL2"/>
        <w:tabs>
          <w:tab w:val="left" w:pos="1440"/>
        </w:tabs>
      </w:pPr>
      <w:r>
        <w:rPr>
          <w:i/>
        </w:rPr>
        <w:t>Cancellation</w:t>
      </w:r>
      <w:r>
        <w:t>: Notes represented by this Global Note are to be cancelled in accordance with Condition 8(h) (</w:t>
      </w:r>
      <w:r>
        <w:rPr>
          <w:i/>
        </w:rPr>
        <w:t>Redemption and Purchase - Cancellation</w:t>
      </w:r>
      <w:r>
        <w:t>),</w:t>
      </w:r>
    </w:p>
    <w:p w14:paraId="304D6129" w14:textId="77777777" w:rsidR="007409E1" w:rsidRDefault="007409E1">
      <w:pPr>
        <w:pStyle w:val="BodyTextIndent3"/>
      </w:pPr>
      <w:r>
        <w:t>the Issuer shall procure that:</w:t>
      </w:r>
    </w:p>
    <w:p w14:paraId="2395252F" w14:textId="77777777" w:rsidR="007409E1" w:rsidRDefault="007409E1">
      <w:pPr>
        <w:pStyle w:val="ScheduleL3"/>
      </w:pPr>
      <w:r>
        <w:t>if the Final Terms specify that the New Global Note form is not applicable, (a) the amount of such payment and the aggregate principal amount of such Notes; and (b) the remaining principal amount of Notes represented by this Global Note (which shall be the previous principal amount hereof less the aggregate of the amounts referred to in (a) above) are entered in schedule 1 (</w:t>
      </w:r>
      <w:r>
        <w:rPr>
          <w:i/>
        </w:rPr>
        <w:t>Payments, Exchanges against Temporary Global Note, Delivery of Definitive Notes and Cancellation of Notes</w:t>
      </w:r>
      <w:r>
        <w:t>) hereto, whereupon the principal amount of Notes represented by this Global Note shall for all purposes be as most recently so entered; and</w:t>
      </w:r>
    </w:p>
    <w:p w14:paraId="2BC033E6" w14:textId="77777777" w:rsidR="007409E1" w:rsidRDefault="007409E1">
      <w:pPr>
        <w:pStyle w:val="ScheduleL3"/>
      </w:pPr>
      <w:r>
        <w:t>if the Final Terms specify that the New Global Note form is applicable, details of the exchange or cancellation shall be entered pro rata in the records of the ICSDs.</w:t>
      </w:r>
    </w:p>
    <w:p w14:paraId="0793BE66" w14:textId="77777777" w:rsidR="007409E1" w:rsidRDefault="007409E1" w:rsidP="00E073F7">
      <w:pPr>
        <w:pStyle w:val="ScheduleL1"/>
        <w:numPr>
          <w:ilvl w:val="0"/>
          <w:numId w:val="33"/>
        </w:numPr>
        <w:tabs>
          <w:tab w:val="left" w:pos="1440"/>
        </w:tabs>
        <w:rPr>
          <w:b/>
        </w:rPr>
      </w:pPr>
      <w:r>
        <w:rPr>
          <w:b/>
        </w:rPr>
        <w:t>Writing up</w:t>
      </w:r>
    </w:p>
    <w:p w14:paraId="49FBF93D" w14:textId="77777777" w:rsidR="007409E1" w:rsidRDefault="007409E1" w:rsidP="00E073F7">
      <w:pPr>
        <w:pStyle w:val="ScheduleL2"/>
        <w:numPr>
          <w:ilvl w:val="1"/>
          <w:numId w:val="33"/>
        </w:numPr>
        <w:tabs>
          <w:tab w:val="left" w:pos="1440"/>
        </w:tabs>
      </w:pPr>
      <w:r>
        <w:rPr>
          <w:b/>
        </w:rPr>
        <w:t>Initial</w:t>
      </w:r>
      <w:r>
        <w:t xml:space="preserve"> </w:t>
      </w:r>
      <w:r>
        <w:rPr>
          <w:b/>
        </w:rPr>
        <w:t>Exchange</w:t>
      </w:r>
    </w:p>
    <w:p w14:paraId="62957D1D" w14:textId="77777777" w:rsidR="007409E1" w:rsidRDefault="007409E1">
      <w:pPr>
        <w:pStyle w:val="BodyTextIndent3"/>
      </w:pPr>
      <w:r>
        <w:t>If this Global Note was originally issued in exchange for part only of a temporary global note representing the Notes, then all references in this Global Note to the principal amount of Notes represented by this Global Note shall be construed as references to the principal amount of Notes represented by the part of the temporary global note in exchange for which this Global Note was originally issued which the Issuer shall procure:</w:t>
      </w:r>
    </w:p>
    <w:p w14:paraId="1BEDA737" w14:textId="77777777" w:rsidR="007409E1" w:rsidRDefault="007409E1">
      <w:pPr>
        <w:pStyle w:val="ScheduleL3"/>
      </w:pPr>
      <w:r>
        <w:rPr>
          <w:i/>
        </w:rPr>
        <w:t>CGN</w:t>
      </w:r>
      <w:r>
        <w:t>: if the Final Terms specify that the New Global Note form is not applicable, is entered in schedule 1 (</w:t>
      </w:r>
      <w:r>
        <w:rPr>
          <w:i/>
        </w:rPr>
        <w:t>Payments, Exchanges against Temporary Global Note, Delivery of Definitive Notes and Cancellation of Notes</w:t>
      </w:r>
      <w:r>
        <w:t>) hereto, whereupon the principal amount of Notes represented by this Global Note shall for all purposes be as most recently so entered; and</w:t>
      </w:r>
    </w:p>
    <w:p w14:paraId="0734AF1E" w14:textId="77777777" w:rsidR="007409E1" w:rsidRDefault="007409E1">
      <w:pPr>
        <w:pStyle w:val="ScheduleL3"/>
      </w:pPr>
      <w:r>
        <w:rPr>
          <w:i/>
        </w:rPr>
        <w:t>NGN</w:t>
      </w:r>
      <w:r>
        <w:t>: if the Final Terms specify that the New Global Note form is applicable, is entered by the ICSDs in their records.</w:t>
      </w:r>
    </w:p>
    <w:p w14:paraId="0B2EC5FA" w14:textId="77777777" w:rsidR="007409E1" w:rsidRDefault="007409E1" w:rsidP="00E073F7">
      <w:pPr>
        <w:pStyle w:val="ScheduleL2"/>
        <w:numPr>
          <w:ilvl w:val="1"/>
          <w:numId w:val="33"/>
        </w:numPr>
        <w:tabs>
          <w:tab w:val="left" w:pos="1440"/>
        </w:tabs>
      </w:pPr>
      <w:r>
        <w:rPr>
          <w:b/>
        </w:rPr>
        <w:t>Subsequent</w:t>
      </w:r>
      <w:r>
        <w:t xml:space="preserve"> </w:t>
      </w:r>
      <w:r>
        <w:rPr>
          <w:b/>
        </w:rPr>
        <w:t>Exchange</w:t>
      </w:r>
    </w:p>
    <w:p w14:paraId="1C6DC484" w14:textId="77777777" w:rsidR="007409E1" w:rsidRDefault="007409E1">
      <w:pPr>
        <w:pStyle w:val="BodyTextIndent3"/>
      </w:pPr>
      <w:r>
        <w:t>If at any subsequent time any further portion of such temporary global note is exchanged for an interest in this Global Note, the principal amount of Notes represented by this Global Note shall be increased by the amount of such further portion, and the Issuer shall procure that the principal amount of Notes represented by this Global Note (which shall be the previous principal amount of Notes represented by this Global Note plus the amount of such further portion) is:</w:t>
      </w:r>
    </w:p>
    <w:p w14:paraId="3A18B460" w14:textId="77777777" w:rsidR="007409E1" w:rsidRDefault="007409E1">
      <w:pPr>
        <w:pStyle w:val="ScheduleL3"/>
      </w:pPr>
      <w:r>
        <w:rPr>
          <w:i/>
        </w:rPr>
        <w:t>CGN</w:t>
      </w:r>
      <w:r>
        <w:t>: if the Final Terms specify that the New Global Note form is not applicable, entered in schedule 1 (Payments, Exchanges against Temporary Global Note, Delivery of Definitive Notes and Cancellation of Notes) hereto, whereupon the principal amount of this Global Note shall for all purposes be as most recently so entered; and</w:t>
      </w:r>
    </w:p>
    <w:p w14:paraId="60CC9818" w14:textId="77777777" w:rsidR="007409E1" w:rsidRDefault="007409E1">
      <w:pPr>
        <w:pStyle w:val="ScheduleL3"/>
      </w:pPr>
      <w:r>
        <w:rPr>
          <w:i/>
        </w:rPr>
        <w:t>NGN</w:t>
      </w:r>
      <w:r>
        <w:t>: if the Final Terms specify that the New Global Note form is applicable, entered by the ICSDs in their records.</w:t>
      </w:r>
    </w:p>
    <w:p w14:paraId="23F3CD07" w14:textId="77777777" w:rsidR="007409E1" w:rsidRDefault="007409E1" w:rsidP="00E073F7">
      <w:pPr>
        <w:pStyle w:val="ScheduleL1"/>
        <w:numPr>
          <w:ilvl w:val="0"/>
          <w:numId w:val="33"/>
        </w:numPr>
        <w:tabs>
          <w:tab w:val="left" w:pos="1440"/>
        </w:tabs>
        <w:rPr>
          <w:b/>
        </w:rPr>
      </w:pPr>
      <w:r>
        <w:rPr>
          <w:b/>
        </w:rPr>
        <w:t>Payments</w:t>
      </w:r>
    </w:p>
    <w:p w14:paraId="5B0D4621" w14:textId="77777777" w:rsidR="007409E1" w:rsidRDefault="007409E1" w:rsidP="00E073F7">
      <w:pPr>
        <w:pStyle w:val="ScheduleL2"/>
        <w:numPr>
          <w:ilvl w:val="1"/>
          <w:numId w:val="33"/>
        </w:numPr>
        <w:tabs>
          <w:tab w:val="left" w:pos="1440"/>
        </w:tabs>
      </w:pPr>
      <w:r>
        <w:t>Recording of Payments</w:t>
      </w:r>
    </w:p>
    <w:p w14:paraId="27484FDC" w14:textId="77777777" w:rsidR="007409E1" w:rsidRDefault="007409E1">
      <w:pPr>
        <w:pStyle w:val="BodyTextIndent3"/>
      </w:pPr>
      <w:r>
        <w:t>Upon any payment being made in respect of the Notes represented by this Global Note, the Issuer shall procure that:</w:t>
      </w:r>
    </w:p>
    <w:p w14:paraId="1C2C65AB" w14:textId="77777777" w:rsidR="007409E1" w:rsidRDefault="007409E1">
      <w:pPr>
        <w:pStyle w:val="ScheduleL3"/>
      </w:pPr>
      <w:r>
        <w:rPr>
          <w:i/>
        </w:rPr>
        <w:t>CGN</w:t>
      </w:r>
      <w:r>
        <w:t>: if the Final Terms specify that the New Global Note form is not applicable, details of such payment shall be entered in schedule 1 (Payments, Exchanges against Temporary Global Note, Delivery of Definitive Notes and Cancellation of Notes) hereto and, in the case of any payment of principal, the principal amount of the Notes represented by this Global Note shall be reduced by the principal amount so paid; and</w:t>
      </w:r>
    </w:p>
    <w:p w14:paraId="6E45142E" w14:textId="77777777" w:rsidR="007409E1" w:rsidRDefault="007409E1">
      <w:pPr>
        <w:pStyle w:val="ScheduleL3"/>
      </w:pPr>
      <w:r>
        <w:rPr>
          <w:i/>
        </w:rPr>
        <w:t>NGN</w:t>
      </w:r>
      <w:r>
        <w:t>: if the Final Terms specify that the New Global Note form is applicable, details of such payment shall be entered pro rata in the records of the ICSDs and, in the case of any payment of principal, the principal amount of the Notes entered in the records of ICSDs and represented by this Global Note shall be reduced by the principal amount so paid.</w:t>
      </w:r>
    </w:p>
    <w:p w14:paraId="6B24185A" w14:textId="77777777" w:rsidR="007409E1" w:rsidRDefault="007409E1" w:rsidP="00E073F7">
      <w:pPr>
        <w:pStyle w:val="ScheduleL2"/>
        <w:numPr>
          <w:ilvl w:val="1"/>
          <w:numId w:val="33"/>
        </w:numPr>
        <w:tabs>
          <w:tab w:val="left" w:pos="1440"/>
        </w:tabs>
      </w:pPr>
      <w:r>
        <w:t>Discharge of Issuer's obligations</w:t>
      </w:r>
    </w:p>
    <w:p w14:paraId="62C72769" w14:textId="77777777" w:rsidR="007409E1" w:rsidRDefault="007409E1">
      <w:pPr>
        <w:pStyle w:val="BodyTextIndent3"/>
      </w:pPr>
      <w:r>
        <w:t>Payments due in respect of Notes for the time being represented by this Global Note shall be made to the bearer of this Global Note and each payment so made will discharge the Issuer's obligations in respect thereof.  Any failure to make the entries referred to above shall not affect such discharge.</w:t>
      </w:r>
    </w:p>
    <w:p w14:paraId="0D3FC495" w14:textId="77777777" w:rsidR="007409E1" w:rsidRDefault="007409E1" w:rsidP="00E073F7">
      <w:pPr>
        <w:pStyle w:val="ScheduleL1"/>
        <w:numPr>
          <w:ilvl w:val="0"/>
          <w:numId w:val="33"/>
        </w:numPr>
        <w:tabs>
          <w:tab w:val="left" w:pos="1440"/>
        </w:tabs>
        <w:rPr>
          <w:b/>
        </w:rPr>
      </w:pPr>
      <w:r>
        <w:rPr>
          <w:b/>
        </w:rPr>
        <w:t>Payment business day</w:t>
      </w:r>
    </w:p>
    <w:p w14:paraId="62654F02" w14:textId="77777777" w:rsidR="007409E1" w:rsidRDefault="007409E1">
      <w:pPr>
        <w:pStyle w:val="BodyTextIndent"/>
        <w:tabs>
          <w:tab w:val="left" w:pos="1440"/>
        </w:tabs>
      </w:pPr>
      <w:r>
        <w:t>If the currency of any payment made in respect of Notes represented by this Global Note is euro, the applicable Payment Business Day shall be any day which is a TARGET Settlement Day and a day on which dealings in foreign currencies may be carried on in each (if any) Additional Financial Centre; or, if the currency of any payment made in respect of the Notes represented by this Global Note is not euro, the applicable Payment Business Day shall be any day which is a day on which dealings in foreign currencies may be carried on in the Principal Financial Centre of the currency of payment and in each (if any) Additional Financial Centre.</w:t>
      </w:r>
    </w:p>
    <w:p w14:paraId="6394F97C" w14:textId="77777777" w:rsidR="007409E1" w:rsidRDefault="007409E1" w:rsidP="00E073F7">
      <w:pPr>
        <w:pStyle w:val="ScheduleL1"/>
        <w:numPr>
          <w:ilvl w:val="0"/>
          <w:numId w:val="33"/>
        </w:numPr>
        <w:tabs>
          <w:tab w:val="left" w:pos="1440"/>
        </w:tabs>
        <w:rPr>
          <w:b/>
        </w:rPr>
      </w:pPr>
      <w:r>
        <w:rPr>
          <w:b/>
        </w:rPr>
        <w:t>Conditions apply</w:t>
      </w:r>
    </w:p>
    <w:p w14:paraId="6533EA41" w14:textId="77777777" w:rsidR="007409E1" w:rsidRDefault="007409E1">
      <w:pPr>
        <w:pStyle w:val="BodyTextIndent"/>
      </w:pPr>
      <w:r>
        <w:t>Until this Global Note has been exchanged as provided herein or cancelled in accordance with the Agency Agreement, the bearer of this Global Note shall be subject to the Conditions and, subject as otherwise provided herein, shall be entitled to the same rights and benefits under the Conditions as if the bearer were the holder of Definitive Notes and any related Coupons and Talons in the smallest Specified Denomination and in an aggregate principal amount equal to the principal amount of Notes represented by this Global Note.</w:t>
      </w:r>
    </w:p>
    <w:p w14:paraId="13AEA226" w14:textId="77777777" w:rsidR="007409E1" w:rsidRDefault="007409E1" w:rsidP="00E073F7">
      <w:pPr>
        <w:pStyle w:val="ScheduleL1"/>
        <w:numPr>
          <w:ilvl w:val="0"/>
          <w:numId w:val="33"/>
        </w:numPr>
        <w:tabs>
          <w:tab w:val="left" w:pos="1440"/>
        </w:tabs>
        <w:rPr>
          <w:b/>
        </w:rPr>
      </w:pPr>
      <w:r>
        <w:rPr>
          <w:b/>
        </w:rPr>
        <w:t xml:space="preserve">Exercise of put option </w:t>
      </w:r>
    </w:p>
    <w:p w14:paraId="2D8F39D0" w14:textId="77777777" w:rsidR="007409E1" w:rsidRDefault="007409E1">
      <w:pPr>
        <w:pStyle w:val="BodyTextIndent"/>
      </w:pPr>
      <w:r>
        <w:t>In order to exercise the option contained in Condition 8(e) (</w:t>
      </w:r>
      <w:r>
        <w:rPr>
          <w:i/>
        </w:rPr>
        <w:t>Redemption at the option of Noteholders</w:t>
      </w:r>
      <w:r>
        <w:t xml:space="preserve">) (the </w:t>
      </w:r>
      <w:r>
        <w:rPr>
          <w:b/>
        </w:rPr>
        <w:t>"Put Option"</w:t>
      </w:r>
      <w:r>
        <w:t>), the bearer of this Global Note must, within the period specified in the Conditions for the deposit of the relevant Note and Put Option Notice, give written notice of such exercise to the Fiscal Agent specifying the principal amount of Notes in respect of which the Put Option is being exercised.  Any such notice shall be irrevocable and may not be withdrawn.</w:t>
      </w:r>
    </w:p>
    <w:p w14:paraId="6AA9A844" w14:textId="77777777" w:rsidR="007409E1" w:rsidRDefault="007409E1" w:rsidP="00E073F7">
      <w:pPr>
        <w:pStyle w:val="ScheduleL1"/>
        <w:numPr>
          <w:ilvl w:val="0"/>
          <w:numId w:val="33"/>
        </w:numPr>
        <w:tabs>
          <w:tab w:val="left" w:pos="1440"/>
        </w:tabs>
        <w:rPr>
          <w:b/>
        </w:rPr>
      </w:pPr>
      <w:r>
        <w:rPr>
          <w:b/>
        </w:rPr>
        <w:t>Exercise of call option</w:t>
      </w:r>
    </w:p>
    <w:p w14:paraId="09A93264" w14:textId="77777777" w:rsidR="007409E1" w:rsidRDefault="007409E1">
      <w:pPr>
        <w:pStyle w:val="BodyTextIndent"/>
      </w:pPr>
      <w:r>
        <w:t>In connection with an exercise of the option contained in Condition 8(c) (</w:t>
      </w:r>
      <w:r>
        <w:rPr>
          <w:i/>
        </w:rPr>
        <w:t>Redemption at the option of the Issuer</w:t>
      </w:r>
      <w:r>
        <w:t>) in relation to some only of the Notes, this Global Note may be redeemed in part in the principal amount specified by the Issuer in accordance with the Conditions and the Notes to be redeemed will not be selected as provided in the Conditions but in accordance with the rules and procedures of Euroclear and Clearstream, Luxembourg (to be reflected in the records of Euroclear and Clearstream, Luxembourg as either a pool factor or a reduction in principal amount, at their discretion).</w:t>
      </w:r>
    </w:p>
    <w:p w14:paraId="3AFED934" w14:textId="77777777" w:rsidR="007409E1" w:rsidRDefault="007409E1" w:rsidP="00E073F7">
      <w:pPr>
        <w:pStyle w:val="ScheduleL1"/>
        <w:numPr>
          <w:ilvl w:val="0"/>
          <w:numId w:val="33"/>
        </w:numPr>
        <w:tabs>
          <w:tab w:val="left" w:pos="1440"/>
        </w:tabs>
        <w:rPr>
          <w:b/>
        </w:rPr>
      </w:pPr>
      <w:r>
        <w:rPr>
          <w:b/>
        </w:rPr>
        <w:t>Notices</w:t>
      </w:r>
    </w:p>
    <w:p w14:paraId="5DDF868A" w14:textId="77777777" w:rsidR="007409E1" w:rsidRDefault="007409E1">
      <w:pPr>
        <w:pStyle w:val="BodyTextIndent"/>
      </w:pPr>
      <w:r>
        <w:t>Notwithstanding Condition 17 (</w:t>
      </w:r>
      <w:r>
        <w:rPr>
          <w:i/>
        </w:rPr>
        <w:t>Notices</w:t>
      </w:r>
      <w:r>
        <w:t>), while all the Notes are represented by this Global Note (or by this Global Note and a temporary global note) and this Global Note is (or this Global Note a temporary global note are) deposited with a depositary or a common depositary for Euroclear and/or Clearstream, Luxembourg and/or any other relevant clearing system or a Common Safekeeper (which expression has the meaning given in the Agency Agreement), notices to Noteholders may be given by delivery of the relevant notice to Euroclear and/or Clearstream, Luxembourg and/or any other relevant clearing system and, in any case, such notices shall be deemed to have been given to the Noteholders in accordance with the Condition 17 (</w:t>
      </w:r>
      <w:r>
        <w:rPr>
          <w:i/>
        </w:rPr>
        <w:t>Notices</w:t>
      </w:r>
      <w:r>
        <w:t>) on the date of delivery to Euroclear and/or Clearstream, Luxembourg and/or any other relevant clearing system, except that, for so long as such Notes are admitted to trading on the Irish Stock Exchange trading as Euronext Dublin ("</w:t>
      </w:r>
      <w:r>
        <w:rPr>
          <w:b/>
        </w:rPr>
        <w:t>Euronext Dublin</w:t>
      </w:r>
      <w:r>
        <w:t>") and it is a requirement of applicable law or regulations, such notices shall also be published in a leading newspaper having general circulation in Ireland (which is expected to be the Financial Times) or published on the website of Euronext Dublin (www.ise.ie).</w:t>
      </w:r>
    </w:p>
    <w:p w14:paraId="6339567D" w14:textId="77777777" w:rsidR="007409E1" w:rsidRDefault="007409E1" w:rsidP="00E073F7">
      <w:pPr>
        <w:pStyle w:val="ScheduleL1"/>
        <w:numPr>
          <w:ilvl w:val="0"/>
          <w:numId w:val="33"/>
        </w:numPr>
        <w:tabs>
          <w:tab w:val="left" w:pos="1440"/>
        </w:tabs>
        <w:rPr>
          <w:b/>
        </w:rPr>
      </w:pPr>
      <w:r>
        <w:rPr>
          <w:b/>
        </w:rPr>
        <w:t>Authentication</w:t>
      </w:r>
    </w:p>
    <w:p w14:paraId="29B7EB01" w14:textId="77777777" w:rsidR="007409E1" w:rsidRDefault="007409E1">
      <w:pPr>
        <w:pStyle w:val="BodyTextIndent"/>
      </w:pPr>
      <w:r>
        <w:t>This Global Note shall not be valid for any purpose until it has been authenticated for and on behalf of BNP Paribas, Luxembourg Branch as fiscal agent.</w:t>
      </w:r>
    </w:p>
    <w:p w14:paraId="0FBF46EE" w14:textId="77777777" w:rsidR="007409E1" w:rsidRDefault="007409E1" w:rsidP="00E073F7">
      <w:pPr>
        <w:pStyle w:val="ScheduleL1"/>
        <w:keepNext/>
        <w:numPr>
          <w:ilvl w:val="0"/>
          <w:numId w:val="33"/>
        </w:numPr>
        <w:tabs>
          <w:tab w:val="left" w:pos="1440"/>
        </w:tabs>
        <w:rPr>
          <w:b/>
        </w:rPr>
      </w:pPr>
      <w:r>
        <w:rPr>
          <w:b/>
        </w:rPr>
        <w:t>Effectuation</w:t>
      </w:r>
    </w:p>
    <w:p w14:paraId="3810C977" w14:textId="77777777" w:rsidR="007409E1" w:rsidRDefault="007409E1">
      <w:pPr>
        <w:pStyle w:val="BodyTextIndent"/>
        <w:tabs>
          <w:tab w:val="left" w:pos="1440"/>
        </w:tabs>
      </w:pPr>
      <w:r>
        <w:t>If the Final Terms specify that the New Global Note form is applicable, this Permanent Global Note shall not be valid for any purpose until it has been effectuated for and on behalf of the entity appointed as common safekeeper by the ICSDs.</w:t>
      </w:r>
    </w:p>
    <w:p w14:paraId="770DAC20" w14:textId="77777777" w:rsidR="007409E1" w:rsidRDefault="007409E1" w:rsidP="00E073F7">
      <w:pPr>
        <w:pStyle w:val="ScheduleL1"/>
        <w:numPr>
          <w:ilvl w:val="0"/>
          <w:numId w:val="33"/>
        </w:numPr>
        <w:tabs>
          <w:tab w:val="left" w:pos="1440"/>
        </w:tabs>
        <w:rPr>
          <w:b/>
        </w:rPr>
      </w:pPr>
      <w:r>
        <w:rPr>
          <w:b/>
        </w:rPr>
        <w:t>Governing law</w:t>
      </w:r>
    </w:p>
    <w:p w14:paraId="629135EB" w14:textId="77777777" w:rsidR="007409E1" w:rsidRDefault="007409E1">
      <w:pPr>
        <w:pStyle w:val="BodyTextIndent"/>
      </w:pPr>
      <w:r>
        <w:t xml:space="preserve">This Global Note and any non-contractual obligations arising out of or in connection with it are governed by and construed in accordance with </w:t>
      </w:r>
      <w:r w:rsidR="003201CA">
        <w:t xml:space="preserve">Spanish </w:t>
      </w:r>
      <w:r w:rsidRPr="00B606B1">
        <w:t>law.</w:t>
      </w:r>
    </w:p>
    <w:p w14:paraId="77CE6098" w14:textId="77777777" w:rsidR="007409E1" w:rsidRDefault="007409E1">
      <w:pPr>
        <w:pStyle w:val="MarginText"/>
        <w:tabs>
          <w:tab w:val="left" w:pos="1440"/>
        </w:tabs>
      </w:pPr>
      <w:r>
        <w:rPr>
          <w:b/>
        </w:rPr>
        <w:t>AS WITNESS</w:t>
      </w:r>
      <w:r>
        <w:t xml:space="preserve"> the [manual/facsimile] signature of a duly authorised person for and on behalf of the Issuer.</w:t>
      </w:r>
    </w:p>
    <w:p w14:paraId="435C9A75" w14:textId="77777777" w:rsidR="007409E1" w:rsidRDefault="007409E1">
      <w:pPr>
        <w:pStyle w:val="MarginText"/>
        <w:tabs>
          <w:tab w:val="left" w:pos="1440"/>
        </w:tabs>
      </w:pPr>
    </w:p>
    <w:p w14:paraId="529E626E" w14:textId="77777777" w:rsidR="007409E1" w:rsidRDefault="007409E1">
      <w:pPr>
        <w:pStyle w:val="MarginText"/>
        <w:keepNext/>
        <w:tabs>
          <w:tab w:val="left" w:pos="1440"/>
        </w:tabs>
        <w:rPr>
          <w:b/>
        </w:rPr>
      </w:pPr>
      <w:r>
        <w:rPr>
          <w:b/>
        </w:rPr>
        <w:t>ADIF-ALTA VELOCIDAD</w:t>
      </w:r>
    </w:p>
    <w:p w14:paraId="2132ED54" w14:textId="77777777" w:rsidR="007409E1" w:rsidRDefault="007409E1">
      <w:pPr>
        <w:pStyle w:val="MarginText"/>
        <w:keepNext/>
        <w:tabs>
          <w:tab w:val="left" w:pos="1440"/>
        </w:tabs>
        <w:rPr>
          <w:b/>
        </w:rPr>
      </w:pPr>
    </w:p>
    <w:p w14:paraId="39C7816A" w14:textId="77777777" w:rsidR="007409E1" w:rsidRDefault="007409E1">
      <w:pPr>
        <w:pStyle w:val="MarginText"/>
        <w:tabs>
          <w:tab w:val="left" w:pos="720"/>
        </w:tabs>
        <w:spacing w:after="0"/>
      </w:pPr>
      <w:r>
        <w:t xml:space="preserve">By: </w:t>
      </w:r>
      <w:r>
        <w:tab/>
        <w:t>…………………………………</w:t>
      </w:r>
    </w:p>
    <w:p w14:paraId="35BC8771" w14:textId="77777777" w:rsidR="007409E1" w:rsidRDefault="007409E1">
      <w:pPr>
        <w:pStyle w:val="MarginText"/>
        <w:tabs>
          <w:tab w:val="left" w:pos="720"/>
        </w:tabs>
        <w:spacing w:after="0"/>
        <w:ind w:left="720"/>
      </w:pPr>
      <w:r>
        <w:t>[</w:t>
      </w:r>
      <w:r>
        <w:rPr>
          <w:i/>
        </w:rPr>
        <w:t>manual or facsimile signature</w:t>
      </w:r>
      <w:r>
        <w:t>]</w:t>
      </w:r>
    </w:p>
    <w:p w14:paraId="1CA4BBEA" w14:textId="77777777" w:rsidR="007409E1" w:rsidRDefault="007409E1">
      <w:pPr>
        <w:pStyle w:val="MarginText"/>
        <w:tabs>
          <w:tab w:val="left" w:pos="720"/>
        </w:tabs>
        <w:ind w:left="720"/>
      </w:pPr>
      <w:r>
        <w:t>(</w:t>
      </w:r>
      <w:r>
        <w:rPr>
          <w:i/>
        </w:rPr>
        <w:t>duly authorised</w:t>
      </w:r>
      <w:r>
        <w:t>)</w:t>
      </w:r>
    </w:p>
    <w:p w14:paraId="76C9CCE2" w14:textId="77777777" w:rsidR="007409E1" w:rsidRDefault="007409E1">
      <w:pPr>
        <w:pStyle w:val="MarginText"/>
        <w:tabs>
          <w:tab w:val="left" w:pos="720"/>
        </w:tabs>
      </w:pPr>
      <w:r>
        <w:rPr>
          <w:b/>
        </w:rPr>
        <w:t>ISSUED</w:t>
      </w:r>
      <w:r>
        <w:t xml:space="preserve"> on the Issue Date</w:t>
      </w:r>
    </w:p>
    <w:p w14:paraId="36C5E1E1" w14:textId="77777777" w:rsidR="007409E1" w:rsidRDefault="007409E1">
      <w:pPr>
        <w:pStyle w:val="MarginText"/>
        <w:keepNext/>
        <w:tabs>
          <w:tab w:val="left" w:pos="720"/>
        </w:tabs>
      </w:pPr>
      <w:r>
        <w:rPr>
          <w:b/>
        </w:rPr>
        <w:t>AUTHENTICATED</w:t>
      </w:r>
      <w:r>
        <w:t xml:space="preserve"> for and on behalf of</w:t>
      </w:r>
    </w:p>
    <w:p w14:paraId="60773E3E" w14:textId="77777777" w:rsidR="007409E1" w:rsidRDefault="007409E1">
      <w:pPr>
        <w:pStyle w:val="MarginText"/>
        <w:tabs>
          <w:tab w:val="left" w:pos="720"/>
        </w:tabs>
      </w:pPr>
      <w:r>
        <w:t>BNP Paribas, Luxembourg Branch as fiscal agent without recourse, warranty or liability</w:t>
      </w:r>
    </w:p>
    <w:p w14:paraId="599BB1A1" w14:textId="77777777" w:rsidR="007409E1" w:rsidRDefault="007409E1">
      <w:pPr>
        <w:pStyle w:val="MarginText"/>
        <w:tabs>
          <w:tab w:val="left" w:pos="720"/>
        </w:tabs>
        <w:spacing w:after="0"/>
      </w:pPr>
      <w:r>
        <w:t xml:space="preserve">By: </w:t>
      </w:r>
      <w:r>
        <w:tab/>
        <w:t>…………………………………</w:t>
      </w:r>
    </w:p>
    <w:p w14:paraId="44FA56EA" w14:textId="77777777" w:rsidR="007409E1" w:rsidRDefault="007409E1">
      <w:pPr>
        <w:pStyle w:val="MarginText"/>
        <w:tabs>
          <w:tab w:val="left" w:pos="720"/>
        </w:tabs>
        <w:spacing w:after="0"/>
        <w:ind w:left="720"/>
      </w:pPr>
      <w:r>
        <w:t>[</w:t>
      </w:r>
      <w:r>
        <w:rPr>
          <w:i/>
        </w:rPr>
        <w:t>manual or facsimile signature</w:t>
      </w:r>
      <w:r>
        <w:t>]</w:t>
      </w:r>
    </w:p>
    <w:p w14:paraId="52E51849" w14:textId="77777777" w:rsidR="007409E1" w:rsidRDefault="007409E1">
      <w:pPr>
        <w:pStyle w:val="MarginText"/>
        <w:tabs>
          <w:tab w:val="left" w:pos="720"/>
        </w:tabs>
        <w:ind w:left="720"/>
      </w:pPr>
      <w:r>
        <w:t>(</w:t>
      </w:r>
      <w:r>
        <w:rPr>
          <w:i/>
        </w:rPr>
        <w:t>duly authorised</w:t>
      </w:r>
      <w:r>
        <w:t>)</w:t>
      </w:r>
    </w:p>
    <w:p w14:paraId="39E19B16" w14:textId="77777777" w:rsidR="007409E1" w:rsidRDefault="007409E1">
      <w:pPr>
        <w:pStyle w:val="MarginText"/>
        <w:tabs>
          <w:tab w:val="left" w:pos="720"/>
        </w:tabs>
      </w:pPr>
      <w:r>
        <w:rPr>
          <w:b/>
        </w:rPr>
        <w:t>EFFECTUATED</w:t>
      </w:r>
      <w:r>
        <w:t xml:space="preserve"> for and on behalf of</w:t>
      </w:r>
    </w:p>
    <w:p w14:paraId="1F076A6B" w14:textId="77777777" w:rsidR="007409E1" w:rsidRDefault="007409E1">
      <w:pPr>
        <w:pStyle w:val="MarginText"/>
        <w:tabs>
          <w:tab w:val="left" w:pos="720"/>
        </w:tabs>
      </w:pPr>
    </w:p>
    <w:p w14:paraId="7A8A5306" w14:textId="77777777" w:rsidR="007409E1" w:rsidRDefault="007409E1">
      <w:pPr>
        <w:pStyle w:val="MarginText"/>
        <w:tabs>
          <w:tab w:val="left" w:pos="720"/>
        </w:tabs>
        <w:spacing w:after="0"/>
      </w:pPr>
      <w:r>
        <w:t>……………………………………………</w:t>
      </w:r>
    </w:p>
    <w:p w14:paraId="27A00A50" w14:textId="77777777" w:rsidR="007409E1" w:rsidRDefault="007409E1">
      <w:pPr>
        <w:pStyle w:val="MarginText"/>
        <w:tabs>
          <w:tab w:val="left" w:pos="720"/>
        </w:tabs>
      </w:pPr>
      <w:r>
        <w:t>as common safekeeper without recourse, warranty or liability</w:t>
      </w:r>
    </w:p>
    <w:p w14:paraId="41B85FBA" w14:textId="77777777" w:rsidR="007409E1" w:rsidRDefault="007409E1">
      <w:pPr>
        <w:pStyle w:val="MarginText"/>
        <w:tabs>
          <w:tab w:val="left" w:pos="720"/>
        </w:tabs>
        <w:spacing w:after="0"/>
      </w:pPr>
      <w:r>
        <w:t xml:space="preserve">By: </w:t>
      </w:r>
      <w:r>
        <w:tab/>
        <w:t>…………………………………</w:t>
      </w:r>
    </w:p>
    <w:p w14:paraId="593D330B" w14:textId="77777777" w:rsidR="007409E1" w:rsidRDefault="007409E1">
      <w:pPr>
        <w:pStyle w:val="MarginText"/>
        <w:tabs>
          <w:tab w:val="left" w:pos="720"/>
        </w:tabs>
        <w:spacing w:after="0"/>
        <w:ind w:left="720"/>
      </w:pPr>
      <w:r>
        <w:t>[</w:t>
      </w:r>
      <w:r>
        <w:rPr>
          <w:i/>
        </w:rPr>
        <w:t>manual or facsimile signature</w:t>
      </w:r>
      <w:r>
        <w:t>]</w:t>
      </w:r>
    </w:p>
    <w:p w14:paraId="1BDC09FC" w14:textId="77777777" w:rsidR="007409E1" w:rsidRDefault="007409E1">
      <w:pPr>
        <w:pStyle w:val="MarginText"/>
        <w:tabs>
          <w:tab w:val="left" w:pos="720"/>
        </w:tabs>
        <w:ind w:left="720"/>
      </w:pPr>
      <w:r>
        <w:t>(</w:t>
      </w:r>
      <w:r>
        <w:rPr>
          <w:i/>
        </w:rPr>
        <w:t>duly authorised</w:t>
      </w:r>
      <w:r>
        <w:t>)</w:t>
      </w:r>
    </w:p>
    <w:p w14:paraId="6377CBFB" w14:textId="77777777" w:rsidR="007409E1" w:rsidRDefault="007409E1">
      <w:pPr>
        <w:pStyle w:val="MarginText"/>
        <w:tabs>
          <w:tab w:val="left" w:pos="1440"/>
        </w:tabs>
      </w:pPr>
    </w:p>
    <w:p w14:paraId="05D9484F" w14:textId="77777777" w:rsidR="007409E1" w:rsidRDefault="007409E1">
      <w:pPr>
        <w:pStyle w:val="MarginText"/>
        <w:tabs>
          <w:tab w:val="left" w:pos="1440"/>
        </w:tabs>
      </w:pPr>
    </w:p>
    <w:p w14:paraId="7BB7B64B" w14:textId="77777777" w:rsidR="007409E1" w:rsidRDefault="007409E1">
      <w:pPr>
        <w:pStyle w:val="MarginText"/>
        <w:tabs>
          <w:tab w:val="left" w:pos="1440"/>
        </w:tabs>
      </w:pPr>
      <w:r>
        <w:t xml:space="preserve"> </w:t>
      </w:r>
    </w:p>
    <w:p w14:paraId="51D952E8" w14:textId="77777777" w:rsidR="007409E1" w:rsidRDefault="007409E1">
      <w:pPr>
        <w:pStyle w:val="MarginText"/>
        <w:tabs>
          <w:tab w:val="left" w:pos="1440"/>
        </w:tabs>
        <w:jc w:val="center"/>
        <w:rPr>
          <w:b/>
        </w:rPr>
      </w:pPr>
      <w:r>
        <w:rPr>
          <w:b/>
        </w:rPr>
        <w:br w:type="page"/>
        <w:t>Schedule l</w:t>
      </w:r>
    </w:p>
    <w:p w14:paraId="194E6B45" w14:textId="77777777" w:rsidR="007409E1" w:rsidRDefault="007409E1">
      <w:pPr>
        <w:pStyle w:val="MarginText"/>
        <w:tabs>
          <w:tab w:val="left" w:pos="1440"/>
        </w:tabs>
        <w:jc w:val="center"/>
        <w:rPr>
          <w:b/>
        </w:rPr>
      </w:pPr>
      <w:r>
        <w:rPr>
          <w:b/>
        </w:rPr>
        <w:t xml:space="preserve">Payments, exchanges against temporary global note, delivery of definitive </w:t>
      </w:r>
      <w:r>
        <w:rPr>
          <w:b/>
        </w:rPr>
        <w:br/>
        <w:t>notes and cancellation of notes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1"/>
        <w:gridCol w:w="986"/>
        <w:gridCol w:w="1072"/>
        <w:gridCol w:w="1292"/>
        <w:gridCol w:w="1182"/>
        <w:gridCol w:w="1182"/>
        <w:gridCol w:w="1072"/>
        <w:gridCol w:w="1268"/>
      </w:tblGrid>
      <w:tr w:rsidR="007409E1" w14:paraId="345922D8" w14:textId="77777777">
        <w:tc>
          <w:tcPr>
            <w:tcW w:w="1440" w:type="dxa"/>
            <w:shd w:val="clear" w:color="auto" w:fill="auto"/>
          </w:tcPr>
          <w:p w14:paraId="7075F980" w14:textId="77777777" w:rsidR="007409E1" w:rsidRDefault="007409E1">
            <w:pPr>
              <w:pStyle w:val="MarginText"/>
              <w:overflowPunct w:val="0"/>
              <w:autoSpaceDE w:val="0"/>
              <w:autoSpaceDN w:val="0"/>
              <w:textAlignment w:val="baseline"/>
              <w:rPr>
                <w:b/>
              </w:rPr>
            </w:pPr>
            <w:r>
              <w:rPr>
                <w:b/>
              </w:rPr>
              <w:t>Date of payment, exchange, delivery or cancellation</w:t>
            </w:r>
          </w:p>
        </w:tc>
        <w:tc>
          <w:tcPr>
            <w:tcW w:w="1115" w:type="dxa"/>
            <w:shd w:val="clear" w:color="auto" w:fill="auto"/>
          </w:tcPr>
          <w:p w14:paraId="78F18F9E" w14:textId="77777777" w:rsidR="007409E1" w:rsidRDefault="007409E1">
            <w:pPr>
              <w:pStyle w:val="MarginText"/>
              <w:overflowPunct w:val="0"/>
              <w:autoSpaceDE w:val="0"/>
              <w:autoSpaceDN w:val="0"/>
              <w:textAlignment w:val="baseline"/>
              <w:rPr>
                <w:b/>
              </w:rPr>
            </w:pPr>
            <w:r>
              <w:rPr>
                <w:b/>
              </w:rPr>
              <w:t>Amount of interest then paid</w:t>
            </w:r>
          </w:p>
        </w:tc>
        <w:tc>
          <w:tcPr>
            <w:tcW w:w="1115" w:type="dxa"/>
            <w:shd w:val="clear" w:color="auto" w:fill="auto"/>
          </w:tcPr>
          <w:p w14:paraId="661FA4CB" w14:textId="77777777" w:rsidR="007409E1" w:rsidRDefault="007409E1">
            <w:pPr>
              <w:pStyle w:val="MarginText"/>
              <w:overflowPunct w:val="0"/>
              <w:autoSpaceDE w:val="0"/>
              <w:autoSpaceDN w:val="0"/>
              <w:textAlignment w:val="baseline"/>
              <w:rPr>
                <w:b/>
              </w:rPr>
            </w:pPr>
            <w:r>
              <w:rPr>
                <w:b/>
              </w:rPr>
              <w:t>Amount of principal then paid</w:t>
            </w:r>
          </w:p>
        </w:tc>
        <w:tc>
          <w:tcPr>
            <w:tcW w:w="1115" w:type="dxa"/>
            <w:shd w:val="clear" w:color="auto" w:fill="auto"/>
          </w:tcPr>
          <w:p w14:paraId="6701FE73" w14:textId="77777777" w:rsidR="007409E1" w:rsidRDefault="007409E1">
            <w:pPr>
              <w:pStyle w:val="MarginText"/>
              <w:overflowPunct w:val="0"/>
              <w:autoSpaceDE w:val="0"/>
              <w:autoSpaceDN w:val="0"/>
              <w:textAlignment w:val="baseline"/>
              <w:rPr>
                <w:b/>
              </w:rPr>
            </w:pPr>
            <w:r>
              <w:rPr>
                <w:b/>
              </w:rPr>
              <w:t>Principal amount of Temporary Global Note then exchanged</w:t>
            </w:r>
          </w:p>
        </w:tc>
        <w:tc>
          <w:tcPr>
            <w:tcW w:w="1115" w:type="dxa"/>
            <w:shd w:val="clear" w:color="auto" w:fill="auto"/>
          </w:tcPr>
          <w:p w14:paraId="528B6189" w14:textId="77777777" w:rsidR="007409E1" w:rsidRDefault="007409E1">
            <w:pPr>
              <w:pStyle w:val="MarginText"/>
              <w:overflowPunct w:val="0"/>
              <w:autoSpaceDE w:val="0"/>
              <w:autoSpaceDN w:val="0"/>
              <w:textAlignment w:val="baseline"/>
              <w:rPr>
                <w:b/>
              </w:rPr>
            </w:pPr>
            <w:r>
              <w:rPr>
                <w:b/>
              </w:rPr>
              <w:t>Aggregate principal amount of Definitive Notes then delivered</w:t>
            </w:r>
          </w:p>
        </w:tc>
        <w:tc>
          <w:tcPr>
            <w:tcW w:w="1115" w:type="dxa"/>
            <w:shd w:val="clear" w:color="auto" w:fill="auto"/>
          </w:tcPr>
          <w:p w14:paraId="4829A3DA" w14:textId="77777777" w:rsidR="007409E1" w:rsidRDefault="007409E1">
            <w:pPr>
              <w:pStyle w:val="MarginText"/>
              <w:overflowPunct w:val="0"/>
              <w:autoSpaceDE w:val="0"/>
              <w:autoSpaceDN w:val="0"/>
              <w:textAlignment w:val="baseline"/>
              <w:rPr>
                <w:b/>
              </w:rPr>
            </w:pPr>
            <w:r>
              <w:rPr>
                <w:b/>
              </w:rPr>
              <w:t>Aggregate principal amount of Notes then cancelled</w:t>
            </w:r>
          </w:p>
        </w:tc>
        <w:tc>
          <w:tcPr>
            <w:tcW w:w="1115" w:type="dxa"/>
            <w:shd w:val="clear" w:color="auto" w:fill="auto"/>
          </w:tcPr>
          <w:p w14:paraId="007FCF4C" w14:textId="77777777" w:rsidR="007409E1" w:rsidRDefault="007409E1">
            <w:pPr>
              <w:pStyle w:val="MarginText"/>
              <w:overflowPunct w:val="0"/>
              <w:autoSpaceDE w:val="0"/>
              <w:autoSpaceDN w:val="0"/>
              <w:textAlignment w:val="baseline"/>
              <w:rPr>
                <w:b/>
              </w:rPr>
            </w:pPr>
            <w:r>
              <w:rPr>
                <w:b/>
              </w:rPr>
              <w:t>New principal amount of this Global Note</w:t>
            </w:r>
          </w:p>
        </w:tc>
        <w:tc>
          <w:tcPr>
            <w:tcW w:w="1115" w:type="dxa"/>
            <w:shd w:val="clear" w:color="auto" w:fill="auto"/>
          </w:tcPr>
          <w:p w14:paraId="424035B4" w14:textId="77777777" w:rsidR="007409E1" w:rsidRDefault="007409E1">
            <w:pPr>
              <w:pStyle w:val="MarginText"/>
              <w:overflowPunct w:val="0"/>
              <w:autoSpaceDE w:val="0"/>
              <w:autoSpaceDN w:val="0"/>
              <w:textAlignment w:val="baseline"/>
              <w:rPr>
                <w:b/>
              </w:rPr>
            </w:pPr>
            <w:r>
              <w:rPr>
                <w:b/>
              </w:rPr>
              <w:t>Authorised signature</w:t>
            </w:r>
          </w:p>
        </w:tc>
      </w:tr>
      <w:tr w:rsidR="007409E1" w14:paraId="2F5B5555" w14:textId="77777777">
        <w:tc>
          <w:tcPr>
            <w:tcW w:w="1440" w:type="dxa"/>
            <w:shd w:val="clear" w:color="auto" w:fill="auto"/>
          </w:tcPr>
          <w:p w14:paraId="5A9A7F5A" w14:textId="77777777" w:rsidR="007409E1" w:rsidRDefault="007409E1">
            <w:pPr>
              <w:pStyle w:val="MarginText"/>
              <w:overflowPunct w:val="0"/>
              <w:autoSpaceDE w:val="0"/>
              <w:autoSpaceDN w:val="0"/>
              <w:textAlignment w:val="baseline"/>
            </w:pPr>
          </w:p>
        </w:tc>
        <w:tc>
          <w:tcPr>
            <w:tcW w:w="1115" w:type="dxa"/>
            <w:shd w:val="clear" w:color="auto" w:fill="auto"/>
          </w:tcPr>
          <w:p w14:paraId="74147316" w14:textId="77777777" w:rsidR="007409E1" w:rsidRDefault="007409E1">
            <w:pPr>
              <w:pStyle w:val="MarginText"/>
              <w:overflowPunct w:val="0"/>
              <w:autoSpaceDE w:val="0"/>
              <w:autoSpaceDN w:val="0"/>
              <w:textAlignment w:val="baseline"/>
            </w:pPr>
          </w:p>
        </w:tc>
        <w:tc>
          <w:tcPr>
            <w:tcW w:w="1115" w:type="dxa"/>
            <w:shd w:val="clear" w:color="auto" w:fill="auto"/>
          </w:tcPr>
          <w:p w14:paraId="4F901990" w14:textId="77777777" w:rsidR="007409E1" w:rsidRDefault="007409E1">
            <w:pPr>
              <w:pStyle w:val="MarginText"/>
              <w:overflowPunct w:val="0"/>
              <w:autoSpaceDE w:val="0"/>
              <w:autoSpaceDN w:val="0"/>
              <w:textAlignment w:val="baseline"/>
            </w:pPr>
          </w:p>
        </w:tc>
        <w:tc>
          <w:tcPr>
            <w:tcW w:w="1115" w:type="dxa"/>
            <w:shd w:val="clear" w:color="auto" w:fill="auto"/>
          </w:tcPr>
          <w:p w14:paraId="66318BD7" w14:textId="77777777" w:rsidR="007409E1" w:rsidRDefault="007409E1">
            <w:pPr>
              <w:pStyle w:val="MarginText"/>
              <w:overflowPunct w:val="0"/>
              <w:autoSpaceDE w:val="0"/>
              <w:autoSpaceDN w:val="0"/>
              <w:textAlignment w:val="baseline"/>
            </w:pPr>
          </w:p>
        </w:tc>
        <w:tc>
          <w:tcPr>
            <w:tcW w:w="1115" w:type="dxa"/>
            <w:shd w:val="clear" w:color="auto" w:fill="auto"/>
          </w:tcPr>
          <w:p w14:paraId="15CEB1D7" w14:textId="77777777" w:rsidR="007409E1" w:rsidRDefault="007409E1">
            <w:pPr>
              <w:pStyle w:val="MarginText"/>
              <w:overflowPunct w:val="0"/>
              <w:autoSpaceDE w:val="0"/>
              <w:autoSpaceDN w:val="0"/>
              <w:textAlignment w:val="baseline"/>
            </w:pPr>
          </w:p>
        </w:tc>
        <w:tc>
          <w:tcPr>
            <w:tcW w:w="1115" w:type="dxa"/>
            <w:shd w:val="clear" w:color="auto" w:fill="auto"/>
          </w:tcPr>
          <w:p w14:paraId="35894CD0" w14:textId="77777777" w:rsidR="007409E1" w:rsidRDefault="007409E1">
            <w:pPr>
              <w:pStyle w:val="MarginText"/>
              <w:overflowPunct w:val="0"/>
              <w:autoSpaceDE w:val="0"/>
              <w:autoSpaceDN w:val="0"/>
              <w:textAlignment w:val="baseline"/>
            </w:pPr>
          </w:p>
        </w:tc>
        <w:tc>
          <w:tcPr>
            <w:tcW w:w="1115" w:type="dxa"/>
            <w:shd w:val="clear" w:color="auto" w:fill="auto"/>
          </w:tcPr>
          <w:p w14:paraId="6F549AE1" w14:textId="77777777" w:rsidR="007409E1" w:rsidRDefault="007409E1">
            <w:pPr>
              <w:pStyle w:val="MarginText"/>
              <w:overflowPunct w:val="0"/>
              <w:autoSpaceDE w:val="0"/>
              <w:autoSpaceDN w:val="0"/>
              <w:textAlignment w:val="baseline"/>
            </w:pPr>
          </w:p>
        </w:tc>
        <w:tc>
          <w:tcPr>
            <w:tcW w:w="1115" w:type="dxa"/>
            <w:shd w:val="clear" w:color="auto" w:fill="auto"/>
          </w:tcPr>
          <w:p w14:paraId="1BC6A958" w14:textId="77777777" w:rsidR="007409E1" w:rsidRDefault="007409E1">
            <w:pPr>
              <w:pStyle w:val="MarginText"/>
              <w:overflowPunct w:val="0"/>
              <w:autoSpaceDE w:val="0"/>
              <w:autoSpaceDN w:val="0"/>
              <w:textAlignment w:val="baseline"/>
            </w:pPr>
          </w:p>
        </w:tc>
      </w:tr>
      <w:tr w:rsidR="007409E1" w14:paraId="73606683" w14:textId="77777777">
        <w:tc>
          <w:tcPr>
            <w:tcW w:w="1440" w:type="dxa"/>
            <w:shd w:val="clear" w:color="auto" w:fill="auto"/>
          </w:tcPr>
          <w:p w14:paraId="5DE578D7" w14:textId="77777777" w:rsidR="007409E1" w:rsidRDefault="007409E1">
            <w:pPr>
              <w:pStyle w:val="MarginText"/>
              <w:overflowPunct w:val="0"/>
              <w:autoSpaceDE w:val="0"/>
              <w:autoSpaceDN w:val="0"/>
              <w:textAlignment w:val="baseline"/>
            </w:pPr>
          </w:p>
        </w:tc>
        <w:tc>
          <w:tcPr>
            <w:tcW w:w="1115" w:type="dxa"/>
            <w:shd w:val="clear" w:color="auto" w:fill="auto"/>
          </w:tcPr>
          <w:p w14:paraId="4759BD93" w14:textId="77777777" w:rsidR="007409E1" w:rsidRDefault="007409E1">
            <w:pPr>
              <w:pStyle w:val="MarginText"/>
              <w:overflowPunct w:val="0"/>
              <w:autoSpaceDE w:val="0"/>
              <w:autoSpaceDN w:val="0"/>
              <w:textAlignment w:val="baseline"/>
            </w:pPr>
          </w:p>
        </w:tc>
        <w:tc>
          <w:tcPr>
            <w:tcW w:w="1115" w:type="dxa"/>
            <w:shd w:val="clear" w:color="auto" w:fill="auto"/>
          </w:tcPr>
          <w:p w14:paraId="58CA98B4" w14:textId="77777777" w:rsidR="007409E1" w:rsidRDefault="007409E1">
            <w:pPr>
              <w:pStyle w:val="MarginText"/>
              <w:overflowPunct w:val="0"/>
              <w:autoSpaceDE w:val="0"/>
              <w:autoSpaceDN w:val="0"/>
              <w:textAlignment w:val="baseline"/>
            </w:pPr>
          </w:p>
        </w:tc>
        <w:tc>
          <w:tcPr>
            <w:tcW w:w="1115" w:type="dxa"/>
            <w:shd w:val="clear" w:color="auto" w:fill="auto"/>
          </w:tcPr>
          <w:p w14:paraId="6F51053C" w14:textId="77777777" w:rsidR="007409E1" w:rsidRDefault="007409E1">
            <w:pPr>
              <w:pStyle w:val="MarginText"/>
              <w:overflowPunct w:val="0"/>
              <w:autoSpaceDE w:val="0"/>
              <w:autoSpaceDN w:val="0"/>
              <w:textAlignment w:val="baseline"/>
            </w:pPr>
          </w:p>
        </w:tc>
        <w:tc>
          <w:tcPr>
            <w:tcW w:w="1115" w:type="dxa"/>
            <w:shd w:val="clear" w:color="auto" w:fill="auto"/>
          </w:tcPr>
          <w:p w14:paraId="1242B274" w14:textId="77777777" w:rsidR="007409E1" w:rsidRDefault="007409E1">
            <w:pPr>
              <w:pStyle w:val="MarginText"/>
              <w:overflowPunct w:val="0"/>
              <w:autoSpaceDE w:val="0"/>
              <w:autoSpaceDN w:val="0"/>
              <w:textAlignment w:val="baseline"/>
            </w:pPr>
          </w:p>
        </w:tc>
        <w:tc>
          <w:tcPr>
            <w:tcW w:w="1115" w:type="dxa"/>
            <w:shd w:val="clear" w:color="auto" w:fill="auto"/>
          </w:tcPr>
          <w:p w14:paraId="23C4D619" w14:textId="77777777" w:rsidR="007409E1" w:rsidRDefault="007409E1">
            <w:pPr>
              <w:pStyle w:val="MarginText"/>
              <w:overflowPunct w:val="0"/>
              <w:autoSpaceDE w:val="0"/>
              <w:autoSpaceDN w:val="0"/>
              <w:textAlignment w:val="baseline"/>
            </w:pPr>
          </w:p>
        </w:tc>
        <w:tc>
          <w:tcPr>
            <w:tcW w:w="1115" w:type="dxa"/>
            <w:shd w:val="clear" w:color="auto" w:fill="auto"/>
          </w:tcPr>
          <w:p w14:paraId="51563B46" w14:textId="77777777" w:rsidR="007409E1" w:rsidRDefault="007409E1">
            <w:pPr>
              <w:pStyle w:val="MarginText"/>
              <w:overflowPunct w:val="0"/>
              <w:autoSpaceDE w:val="0"/>
              <w:autoSpaceDN w:val="0"/>
              <w:textAlignment w:val="baseline"/>
            </w:pPr>
          </w:p>
        </w:tc>
        <w:tc>
          <w:tcPr>
            <w:tcW w:w="1115" w:type="dxa"/>
            <w:shd w:val="clear" w:color="auto" w:fill="auto"/>
          </w:tcPr>
          <w:p w14:paraId="742CBD20" w14:textId="77777777" w:rsidR="007409E1" w:rsidRDefault="007409E1">
            <w:pPr>
              <w:pStyle w:val="MarginText"/>
              <w:overflowPunct w:val="0"/>
              <w:autoSpaceDE w:val="0"/>
              <w:autoSpaceDN w:val="0"/>
              <w:textAlignment w:val="baseline"/>
            </w:pPr>
          </w:p>
        </w:tc>
      </w:tr>
      <w:tr w:rsidR="007409E1" w14:paraId="6A345ABE" w14:textId="77777777">
        <w:tc>
          <w:tcPr>
            <w:tcW w:w="1440" w:type="dxa"/>
            <w:shd w:val="clear" w:color="auto" w:fill="auto"/>
          </w:tcPr>
          <w:p w14:paraId="5449B363" w14:textId="77777777" w:rsidR="007409E1" w:rsidRDefault="007409E1">
            <w:pPr>
              <w:pStyle w:val="MarginText"/>
              <w:overflowPunct w:val="0"/>
              <w:autoSpaceDE w:val="0"/>
              <w:autoSpaceDN w:val="0"/>
              <w:textAlignment w:val="baseline"/>
            </w:pPr>
          </w:p>
        </w:tc>
        <w:tc>
          <w:tcPr>
            <w:tcW w:w="1115" w:type="dxa"/>
            <w:shd w:val="clear" w:color="auto" w:fill="auto"/>
          </w:tcPr>
          <w:p w14:paraId="2A73CA49" w14:textId="77777777" w:rsidR="007409E1" w:rsidRDefault="007409E1">
            <w:pPr>
              <w:pStyle w:val="MarginText"/>
              <w:overflowPunct w:val="0"/>
              <w:autoSpaceDE w:val="0"/>
              <w:autoSpaceDN w:val="0"/>
              <w:textAlignment w:val="baseline"/>
            </w:pPr>
          </w:p>
        </w:tc>
        <w:tc>
          <w:tcPr>
            <w:tcW w:w="1115" w:type="dxa"/>
            <w:shd w:val="clear" w:color="auto" w:fill="auto"/>
          </w:tcPr>
          <w:p w14:paraId="37242CE2" w14:textId="77777777" w:rsidR="007409E1" w:rsidRDefault="007409E1">
            <w:pPr>
              <w:pStyle w:val="MarginText"/>
              <w:overflowPunct w:val="0"/>
              <w:autoSpaceDE w:val="0"/>
              <w:autoSpaceDN w:val="0"/>
              <w:textAlignment w:val="baseline"/>
            </w:pPr>
          </w:p>
        </w:tc>
        <w:tc>
          <w:tcPr>
            <w:tcW w:w="1115" w:type="dxa"/>
            <w:shd w:val="clear" w:color="auto" w:fill="auto"/>
          </w:tcPr>
          <w:p w14:paraId="01DAB631" w14:textId="77777777" w:rsidR="007409E1" w:rsidRDefault="007409E1">
            <w:pPr>
              <w:pStyle w:val="MarginText"/>
              <w:overflowPunct w:val="0"/>
              <w:autoSpaceDE w:val="0"/>
              <w:autoSpaceDN w:val="0"/>
              <w:textAlignment w:val="baseline"/>
            </w:pPr>
          </w:p>
        </w:tc>
        <w:tc>
          <w:tcPr>
            <w:tcW w:w="1115" w:type="dxa"/>
            <w:shd w:val="clear" w:color="auto" w:fill="auto"/>
          </w:tcPr>
          <w:p w14:paraId="3E8C3258" w14:textId="77777777" w:rsidR="007409E1" w:rsidRDefault="007409E1">
            <w:pPr>
              <w:pStyle w:val="MarginText"/>
              <w:overflowPunct w:val="0"/>
              <w:autoSpaceDE w:val="0"/>
              <w:autoSpaceDN w:val="0"/>
              <w:textAlignment w:val="baseline"/>
            </w:pPr>
          </w:p>
        </w:tc>
        <w:tc>
          <w:tcPr>
            <w:tcW w:w="1115" w:type="dxa"/>
            <w:shd w:val="clear" w:color="auto" w:fill="auto"/>
          </w:tcPr>
          <w:p w14:paraId="23742AD2" w14:textId="77777777" w:rsidR="007409E1" w:rsidRDefault="007409E1">
            <w:pPr>
              <w:pStyle w:val="MarginText"/>
              <w:overflowPunct w:val="0"/>
              <w:autoSpaceDE w:val="0"/>
              <w:autoSpaceDN w:val="0"/>
              <w:textAlignment w:val="baseline"/>
            </w:pPr>
          </w:p>
        </w:tc>
        <w:tc>
          <w:tcPr>
            <w:tcW w:w="1115" w:type="dxa"/>
            <w:shd w:val="clear" w:color="auto" w:fill="auto"/>
          </w:tcPr>
          <w:p w14:paraId="3A9B8465" w14:textId="77777777" w:rsidR="007409E1" w:rsidRDefault="007409E1">
            <w:pPr>
              <w:pStyle w:val="MarginText"/>
              <w:overflowPunct w:val="0"/>
              <w:autoSpaceDE w:val="0"/>
              <w:autoSpaceDN w:val="0"/>
              <w:textAlignment w:val="baseline"/>
            </w:pPr>
          </w:p>
        </w:tc>
        <w:tc>
          <w:tcPr>
            <w:tcW w:w="1115" w:type="dxa"/>
            <w:shd w:val="clear" w:color="auto" w:fill="auto"/>
          </w:tcPr>
          <w:p w14:paraId="7B32E2D1" w14:textId="77777777" w:rsidR="007409E1" w:rsidRDefault="007409E1">
            <w:pPr>
              <w:pStyle w:val="MarginText"/>
              <w:overflowPunct w:val="0"/>
              <w:autoSpaceDE w:val="0"/>
              <w:autoSpaceDN w:val="0"/>
              <w:textAlignment w:val="baseline"/>
            </w:pPr>
          </w:p>
        </w:tc>
      </w:tr>
      <w:tr w:rsidR="007409E1" w14:paraId="5DAC7F56" w14:textId="77777777">
        <w:tc>
          <w:tcPr>
            <w:tcW w:w="1440" w:type="dxa"/>
            <w:shd w:val="clear" w:color="auto" w:fill="auto"/>
          </w:tcPr>
          <w:p w14:paraId="758A1DBC" w14:textId="77777777" w:rsidR="007409E1" w:rsidRDefault="007409E1">
            <w:pPr>
              <w:pStyle w:val="MarginText"/>
              <w:overflowPunct w:val="0"/>
              <w:autoSpaceDE w:val="0"/>
              <w:autoSpaceDN w:val="0"/>
              <w:textAlignment w:val="baseline"/>
            </w:pPr>
          </w:p>
        </w:tc>
        <w:tc>
          <w:tcPr>
            <w:tcW w:w="1115" w:type="dxa"/>
            <w:shd w:val="clear" w:color="auto" w:fill="auto"/>
          </w:tcPr>
          <w:p w14:paraId="4EA3B905" w14:textId="77777777" w:rsidR="007409E1" w:rsidRDefault="007409E1">
            <w:pPr>
              <w:pStyle w:val="MarginText"/>
              <w:overflowPunct w:val="0"/>
              <w:autoSpaceDE w:val="0"/>
              <w:autoSpaceDN w:val="0"/>
              <w:textAlignment w:val="baseline"/>
            </w:pPr>
          </w:p>
        </w:tc>
        <w:tc>
          <w:tcPr>
            <w:tcW w:w="1115" w:type="dxa"/>
            <w:shd w:val="clear" w:color="auto" w:fill="auto"/>
          </w:tcPr>
          <w:p w14:paraId="79FDDB3D" w14:textId="77777777" w:rsidR="007409E1" w:rsidRDefault="007409E1">
            <w:pPr>
              <w:pStyle w:val="MarginText"/>
              <w:overflowPunct w:val="0"/>
              <w:autoSpaceDE w:val="0"/>
              <w:autoSpaceDN w:val="0"/>
              <w:textAlignment w:val="baseline"/>
            </w:pPr>
          </w:p>
        </w:tc>
        <w:tc>
          <w:tcPr>
            <w:tcW w:w="1115" w:type="dxa"/>
            <w:shd w:val="clear" w:color="auto" w:fill="auto"/>
          </w:tcPr>
          <w:p w14:paraId="1AD0BEFB" w14:textId="77777777" w:rsidR="007409E1" w:rsidRDefault="007409E1">
            <w:pPr>
              <w:pStyle w:val="MarginText"/>
              <w:overflowPunct w:val="0"/>
              <w:autoSpaceDE w:val="0"/>
              <w:autoSpaceDN w:val="0"/>
              <w:textAlignment w:val="baseline"/>
            </w:pPr>
          </w:p>
        </w:tc>
        <w:tc>
          <w:tcPr>
            <w:tcW w:w="1115" w:type="dxa"/>
            <w:shd w:val="clear" w:color="auto" w:fill="auto"/>
          </w:tcPr>
          <w:p w14:paraId="553B548F" w14:textId="77777777" w:rsidR="007409E1" w:rsidRDefault="007409E1">
            <w:pPr>
              <w:pStyle w:val="MarginText"/>
              <w:overflowPunct w:val="0"/>
              <w:autoSpaceDE w:val="0"/>
              <w:autoSpaceDN w:val="0"/>
              <w:textAlignment w:val="baseline"/>
            </w:pPr>
          </w:p>
        </w:tc>
        <w:tc>
          <w:tcPr>
            <w:tcW w:w="1115" w:type="dxa"/>
            <w:shd w:val="clear" w:color="auto" w:fill="auto"/>
          </w:tcPr>
          <w:p w14:paraId="6027E6B0" w14:textId="77777777" w:rsidR="007409E1" w:rsidRDefault="007409E1">
            <w:pPr>
              <w:pStyle w:val="MarginText"/>
              <w:overflowPunct w:val="0"/>
              <w:autoSpaceDE w:val="0"/>
              <w:autoSpaceDN w:val="0"/>
              <w:textAlignment w:val="baseline"/>
            </w:pPr>
          </w:p>
        </w:tc>
        <w:tc>
          <w:tcPr>
            <w:tcW w:w="1115" w:type="dxa"/>
            <w:shd w:val="clear" w:color="auto" w:fill="auto"/>
          </w:tcPr>
          <w:p w14:paraId="75C9C7A0" w14:textId="77777777" w:rsidR="007409E1" w:rsidRDefault="007409E1">
            <w:pPr>
              <w:pStyle w:val="MarginText"/>
              <w:overflowPunct w:val="0"/>
              <w:autoSpaceDE w:val="0"/>
              <w:autoSpaceDN w:val="0"/>
              <w:textAlignment w:val="baseline"/>
            </w:pPr>
          </w:p>
        </w:tc>
        <w:tc>
          <w:tcPr>
            <w:tcW w:w="1115" w:type="dxa"/>
            <w:shd w:val="clear" w:color="auto" w:fill="auto"/>
          </w:tcPr>
          <w:p w14:paraId="58FC2F39" w14:textId="77777777" w:rsidR="007409E1" w:rsidRDefault="007409E1">
            <w:pPr>
              <w:pStyle w:val="MarginText"/>
              <w:overflowPunct w:val="0"/>
              <w:autoSpaceDE w:val="0"/>
              <w:autoSpaceDN w:val="0"/>
              <w:textAlignment w:val="baseline"/>
            </w:pPr>
          </w:p>
        </w:tc>
      </w:tr>
    </w:tbl>
    <w:p w14:paraId="3D9DFA15" w14:textId="77777777" w:rsidR="007409E1" w:rsidRDefault="007409E1">
      <w:pPr>
        <w:pStyle w:val="MarginText"/>
        <w:tabs>
          <w:tab w:val="left" w:pos="1440"/>
        </w:tabs>
      </w:pPr>
    </w:p>
    <w:p w14:paraId="708FCA6C" w14:textId="77777777" w:rsidR="007409E1" w:rsidRDefault="007409E1">
      <w:pPr>
        <w:pStyle w:val="MarginText"/>
        <w:tabs>
          <w:tab w:val="left" w:pos="1440"/>
        </w:tabs>
        <w:jc w:val="center"/>
        <w:rPr>
          <w:b/>
        </w:rPr>
      </w:pPr>
      <w:r>
        <w:br w:type="page"/>
      </w:r>
      <w:r>
        <w:rPr>
          <w:b/>
        </w:rPr>
        <w:t xml:space="preserve">Schedule 2 </w:t>
      </w:r>
    </w:p>
    <w:p w14:paraId="5755866C" w14:textId="77777777" w:rsidR="007409E1" w:rsidRDefault="007409E1">
      <w:pPr>
        <w:pStyle w:val="MarginText"/>
        <w:tabs>
          <w:tab w:val="left" w:pos="1440"/>
        </w:tabs>
        <w:jc w:val="center"/>
        <w:rPr>
          <w:b/>
        </w:rPr>
      </w:pPr>
      <w:r>
        <w:rPr>
          <w:b/>
        </w:rPr>
        <w:t>Terms and conditions of the notes</w:t>
      </w:r>
    </w:p>
    <w:p w14:paraId="0712BA60" w14:textId="77777777" w:rsidR="007409E1" w:rsidRPr="00B606B1" w:rsidRDefault="007409E1" w:rsidP="003201CA">
      <w:pPr>
        <w:pStyle w:val="SchHead"/>
      </w:pPr>
      <w:r>
        <w:br w:type="page"/>
      </w:r>
      <w:bookmarkStart w:id="44" w:name="_Ref493577044"/>
      <w:bookmarkStart w:id="45" w:name="_Ref493577053"/>
      <w:bookmarkStart w:id="46" w:name="_Ref493577058"/>
      <w:bookmarkStart w:id="47" w:name="_Toc60859034"/>
      <w:r w:rsidRPr="00B606B1">
        <w:t>Form of Definitive Note</w:t>
      </w:r>
      <w:bookmarkEnd w:id="44"/>
      <w:bookmarkEnd w:id="45"/>
      <w:bookmarkEnd w:id="46"/>
      <w:bookmarkEnd w:id="47"/>
    </w:p>
    <w:p w14:paraId="74849FE2" w14:textId="77777777" w:rsidR="007409E1" w:rsidRDefault="007409E1">
      <w:pPr>
        <w:pStyle w:val="MarginText"/>
        <w:tabs>
          <w:tab w:val="left" w:pos="1440"/>
        </w:tabs>
      </w:pPr>
      <w:r>
        <w:t>[</w:t>
      </w:r>
      <w:r>
        <w:rPr>
          <w:i/>
        </w:rPr>
        <w:t>On the face of the Note</w:t>
      </w:r>
      <w:r>
        <w:t>.]</w:t>
      </w:r>
    </w:p>
    <w:p w14:paraId="1EF684FC" w14:textId="77777777" w:rsidR="007409E1" w:rsidRDefault="007409E1">
      <w:pPr>
        <w:pStyle w:val="MarginText"/>
        <w:tabs>
          <w:tab w:val="left" w:pos="1440"/>
        </w:tabs>
      </w:pPr>
      <w:r>
        <w:t>[currency] [denomination]</w:t>
      </w:r>
    </w:p>
    <w:p w14:paraId="72586FF7" w14:textId="77777777" w:rsidR="007409E1" w:rsidRDefault="007409E1">
      <w:pPr>
        <w:pStyle w:val="MarginText"/>
        <w:tabs>
          <w:tab w:val="left" w:pos="1440"/>
        </w:tabs>
        <w:sectPr w:rsidR="007409E1">
          <w:footnotePr>
            <w:numFmt w:val="lowerLetter"/>
          </w:footnotePr>
          <w:endnotePr>
            <w:numFmt w:val="decimal"/>
          </w:endnotePr>
          <w:type w:val="continuous"/>
          <w:pgSz w:w="11909" w:h="16834" w:code="9"/>
          <w:pgMar w:top="1440" w:right="1440" w:bottom="1800" w:left="1440" w:header="720" w:footer="720" w:gutter="0"/>
          <w:cols w:space="720"/>
          <w:noEndnote/>
        </w:sectPr>
      </w:pPr>
      <w:r>
        <w:t>[ANY UNITED STATES PERSON WHO HOLDS THIS OBLIGATION WILL BE SUBJECT TO LIMITATIONS UNDER THE UNITED STATES INCOME TAX LAWS, INCLUDING THE LIMITATIONS PROVIDED IN SECTIONS 165(j) AND 1287(a) OF THE INTERNAL REVENUE CODE]</w:t>
      </w:r>
      <w:r>
        <w:rPr>
          <w:rStyle w:val="FootnoteReference"/>
        </w:rPr>
        <w:footnoteReference w:id="7"/>
      </w:r>
    </w:p>
    <w:p w14:paraId="45CC4E51" w14:textId="77777777" w:rsidR="007409E1" w:rsidRDefault="007409E1">
      <w:pPr>
        <w:pStyle w:val="MarginText"/>
        <w:tabs>
          <w:tab w:val="left" w:pos="1440"/>
        </w:tabs>
      </w:pPr>
    </w:p>
    <w:p w14:paraId="49E54F5E" w14:textId="77777777" w:rsidR="007409E1" w:rsidRDefault="007409E1">
      <w:pPr>
        <w:pStyle w:val="MarginText"/>
        <w:tabs>
          <w:tab w:val="left" w:pos="1440"/>
        </w:tabs>
        <w:jc w:val="center"/>
      </w:pPr>
      <w:r>
        <w:rPr>
          <w:b/>
        </w:rPr>
        <w:t>ADIF-ALTA VELOCIDAD</w:t>
      </w:r>
      <w:r>
        <w:rPr>
          <w:b/>
        </w:rPr>
        <w:br/>
      </w:r>
      <w:r>
        <w:t>(established in the Kingdom of Spain)</w:t>
      </w:r>
    </w:p>
    <w:p w14:paraId="7D22B019" w14:textId="77777777" w:rsidR="007409E1" w:rsidRDefault="007409E1">
      <w:pPr>
        <w:pStyle w:val="MarginText"/>
        <w:tabs>
          <w:tab w:val="left" w:pos="1440"/>
        </w:tabs>
        <w:jc w:val="center"/>
        <w:rPr>
          <w:b/>
        </w:rPr>
      </w:pPr>
      <w:r>
        <w:rPr>
          <w:b/>
        </w:rPr>
        <w:t xml:space="preserve">EUR </w:t>
      </w:r>
      <w:r w:rsidR="00E828BA">
        <w:rPr>
          <w:b/>
        </w:rPr>
        <w:t>8</w:t>
      </w:r>
      <w:r>
        <w:rPr>
          <w:b/>
        </w:rPr>
        <w:t>,000,000,000</w:t>
      </w:r>
    </w:p>
    <w:p w14:paraId="36CA9EF3" w14:textId="77777777" w:rsidR="007409E1" w:rsidRDefault="007409E1">
      <w:pPr>
        <w:pStyle w:val="MarginText"/>
        <w:tabs>
          <w:tab w:val="left" w:pos="1440"/>
        </w:tabs>
        <w:jc w:val="center"/>
        <w:rPr>
          <w:b/>
        </w:rPr>
      </w:pPr>
      <w:r>
        <w:rPr>
          <w:b/>
        </w:rPr>
        <w:t>[[</w:t>
      </w:r>
      <w:r>
        <w:rPr>
          <w:rFonts w:ascii="Wingdings" w:hAnsi="Wingdings"/>
          <w:b/>
        </w:rPr>
        <w:t></w:t>
      </w:r>
      <w:r>
        <w:rPr>
          <w:rFonts w:hint="eastAsia"/>
          <w:b/>
        </w:rPr>
        <w:t>                    </w:t>
      </w:r>
      <w:r>
        <w:rPr>
          <w:b/>
        </w:rPr>
        <w:t>]/Floating Rate] Notes due [•]</w:t>
      </w:r>
    </w:p>
    <w:p w14:paraId="1640B176" w14:textId="77777777" w:rsidR="007409E1" w:rsidRDefault="007409E1">
      <w:pPr>
        <w:pStyle w:val="MarginText"/>
        <w:tabs>
          <w:tab w:val="left" w:pos="1440"/>
        </w:tabs>
      </w:pPr>
      <w:r>
        <w:t xml:space="preserve">This Note is one of a series of notes (the </w:t>
      </w:r>
      <w:r>
        <w:rPr>
          <w:b/>
        </w:rPr>
        <w:t>"Notes"</w:t>
      </w:r>
      <w:r>
        <w:t xml:space="preserve">) of ADIF-Alta Velocidad (the </w:t>
      </w:r>
      <w:r>
        <w:rPr>
          <w:b/>
        </w:rPr>
        <w:t>"Issuer"</w:t>
      </w:r>
      <w:r>
        <w:t xml:space="preserve">), described in the final terms (the </w:t>
      </w:r>
      <w:r>
        <w:rPr>
          <w:b/>
        </w:rPr>
        <w:t>"Final Terms"</w:t>
      </w:r>
      <w:r>
        <w:t>) or drawdown prospectus (</w:t>
      </w:r>
      <w:r>
        <w:rPr>
          <w:b/>
        </w:rPr>
        <w:t>"Drawdown Prospectus"</w:t>
      </w:r>
      <w:r>
        <w:t xml:space="preserve">) a copy of the relevant particulars of which is endorsed on this Note.  Any reference herein to the </w:t>
      </w:r>
      <w:r>
        <w:rPr>
          <w:b/>
        </w:rPr>
        <w:t>"Conditions"</w:t>
      </w:r>
      <w:r>
        <w:t xml:space="preserve"> is to the Terms and Conditions of the Notes endorsed on this Note, as completed by the Final Terms or Drawdown Prospectus, and any reference to a numbered "Condition" is to the correspondingly numbered provision thereof.  Words and expressions defined in the Conditions shall have the same meanings when used in this Note.</w:t>
      </w:r>
    </w:p>
    <w:p w14:paraId="4AE4C5E5" w14:textId="77777777" w:rsidR="007409E1" w:rsidRDefault="007409E1">
      <w:pPr>
        <w:pStyle w:val="MarginText"/>
        <w:tabs>
          <w:tab w:val="left" w:pos="1440"/>
        </w:tabs>
      </w:pPr>
      <w:r>
        <w:t>The Issuer, for value received, promises to pay to the bearer of this Note on presentation and (when no further payment is due in respect of this Note) surrender of this Note the Redemption Amount on the Maturity Date or on such earlier date or dates as the same may become payable in accordance with the Conditions (or to pay such other amounts of principal on such dates as may be specified in the Final Terms or Drawdown Prospectus), and to pay interest on this Note on the dates and in the manner specified in the Conditions, together with any additional amounts payable in accordance with the Conditions, all subject to and in accordance with the Conditions.</w:t>
      </w:r>
    </w:p>
    <w:p w14:paraId="4588CDB7" w14:textId="77777777" w:rsidR="007409E1" w:rsidRDefault="007409E1">
      <w:pPr>
        <w:pStyle w:val="MarginText"/>
        <w:tabs>
          <w:tab w:val="left" w:pos="1440"/>
        </w:tabs>
      </w:pPr>
      <w:r>
        <w:t>This Note shall not be valid for any purpose until it has been authenticated for and on behalf of BNP Paribas, Luxembourg Branch as fiscal agent.</w:t>
      </w:r>
    </w:p>
    <w:p w14:paraId="2C48B20F" w14:textId="77777777" w:rsidR="007409E1" w:rsidRDefault="007409E1">
      <w:pPr>
        <w:pStyle w:val="MarginText"/>
        <w:tabs>
          <w:tab w:val="left" w:pos="1440"/>
        </w:tabs>
      </w:pPr>
      <w:r>
        <w:t xml:space="preserve">This Note and any non-contractual obligations arising out of or in connection with it are governed by </w:t>
      </w:r>
      <w:r w:rsidR="003201CA">
        <w:t>Spanish</w:t>
      </w:r>
      <w:r w:rsidRPr="00B606B1">
        <w:t xml:space="preserve"> law.</w:t>
      </w:r>
    </w:p>
    <w:p w14:paraId="7BE3B559" w14:textId="77777777" w:rsidR="007409E1" w:rsidRDefault="007409E1">
      <w:pPr>
        <w:pStyle w:val="MarginText"/>
        <w:tabs>
          <w:tab w:val="left" w:pos="1440"/>
        </w:tabs>
      </w:pPr>
    </w:p>
    <w:p w14:paraId="69B1179B" w14:textId="77777777" w:rsidR="007409E1" w:rsidRDefault="007409E1">
      <w:pPr>
        <w:pStyle w:val="MarginText"/>
        <w:tabs>
          <w:tab w:val="left" w:pos="1440"/>
        </w:tabs>
      </w:pPr>
      <w:r>
        <w:br w:type="page"/>
      </w:r>
      <w:r>
        <w:rPr>
          <w:b/>
        </w:rPr>
        <w:t>AS WITNESS</w:t>
      </w:r>
      <w:r>
        <w:t xml:space="preserve"> the [manual/facsimile] signature of a duly authorised person for and on behalf of the Issuer.</w:t>
      </w:r>
    </w:p>
    <w:p w14:paraId="49E39450" w14:textId="77777777" w:rsidR="007409E1" w:rsidRDefault="007409E1">
      <w:pPr>
        <w:pStyle w:val="MarginText"/>
        <w:tabs>
          <w:tab w:val="left" w:pos="1440"/>
        </w:tabs>
      </w:pPr>
    </w:p>
    <w:p w14:paraId="3ABD9655" w14:textId="77777777" w:rsidR="007409E1" w:rsidRDefault="007409E1">
      <w:pPr>
        <w:pStyle w:val="MarginText"/>
        <w:keepNext/>
        <w:tabs>
          <w:tab w:val="left" w:pos="1440"/>
        </w:tabs>
        <w:rPr>
          <w:b/>
        </w:rPr>
      </w:pPr>
      <w:r>
        <w:rPr>
          <w:b/>
        </w:rPr>
        <w:t>ADIF-ALTA VELOCIDAD</w:t>
      </w:r>
    </w:p>
    <w:p w14:paraId="163D097B" w14:textId="77777777" w:rsidR="007409E1" w:rsidRDefault="007409E1">
      <w:pPr>
        <w:pStyle w:val="MarginText"/>
        <w:keepNext/>
        <w:tabs>
          <w:tab w:val="left" w:pos="1440"/>
        </w:tabs>
        <w:rPr>
          <w:b/>
        </w:rPr>
      </w:pPr>
    </w:p>
    <w:p w14:paraId="3EA17BEA" w14:textId="77777777" w:rsidR="007409E1" w:rsidRDefault="007409E1">
      <w:pPr>
        <w:pStyle w:val="MarginText"/>
        <w:tabs>
          <w:tab w:val="left" w:pos="720"/>
        </w:tabs>
        <w:spacing w:after="0"/>
      </w:pPr>
      <w:r>
        <w:t xml:space="preserve">By: </w:t>
      </w:r>
      <w:r>
        <w:tab/>
        <w:t>…………………………………</w:t>
      </w:r>
    </w:p>
    <w:p w14:paraId="541B9DBE" w14:textId="77777777" w:rsidR="007409E1" w:rsidRDefault="007409E1">
      <w:pPr>
        <w:pStyle w:val="MarginText"/>
        <w:tabs>
          <w:tab w:val="left" w:pos="720"/>
        </w:tabs>
        <w:spacing w:after="0"/>
        <w:ind w:left="720"/>
      </w:pPr>
      <w:r>
        <w:t>[</w:t>
      </w:r>
      <w:r>
        <w:rPr>
          <w:i/>
        </w:rPr>
        <w:t>manual or facsimile signature</w:t>
      </w:r>
      <w:r>
        <w:t>]</w:t>
      </w:r>
    </w:p>
    <w:p w14:paraId="427F64C7" w14:textId="77777777" w:rsidR="007409E1" w:rsidRDefault="007409E1">
      <w:pPr>
        <w:pStyle w:val="MarginText"/>
        <w:tabs>
          <w:tab w:val="left" w:pos="720"/>
        </w:tabs>
        <w:ind w:left="720"/>
      </w:pPr>
      <w:r>
        <w:t>(</w:t>
      </w:r>
      <w:r>
        <w:rPr>
          <w:i/>
        </w:rPr>
        <w:t>duly authorised</w:t>
      </w:r>
      <w:r>
        <w:t>)</w:t>
      </w:r>
    </w:p>
    <w:p w14:paraId="2C4A0F92" w14:textId="77777777" w:rsidR="007409E1" w:rsidRDefault="007409E1">
      <w:pPr>
        <w:pStyle w:val="MarginText"/>
        <w:tabs>
          <w:tab w:val="left" w:pos="720"/>
        </w:tabs>
      </w:pPr>
      <w:r>
        <w:rPr>
          <w:b/>
        </w:rPr>
        <w:t>ISSUED</w:t>
      </w:r>
      <w:r>
        <w:t xml:space="preserve"> on the Issue Date</w:t>
      </w:r>
    </w:p>
    <w:p w14:paraId="30440F62" w14:textId="77777777" w:rsidR="007409E1" w:rsidRDefault="007409E1">
      <w:pPr>
        <w:pStyle w:val="MarginText"/>
        <w:keepNext/>
        <w:tabs>
          <w:tab w:val="left" w:pos="720"/>
        </w:tabs>
      </w:pPr>
      <w:r>
        <w:rPr>
          <w:b/>
        </w:rPr>
        <w:t>AUTHENTICATED</w:t>
      </w:r>
      <w:r>
        <w:t xml:space="preserve"> for and on behalf of</w:t>
      </w:r>
    </w:p>
    <w:p w14:paraId="3E0EF70C" w14:textId="77777777" w:rsidR="007409E1" w:rsidRDefault="007409E1">
      <w:pPr>
        <w:pStyle w:val="MarginText"/>
        <w:tabs>
          <w:tab w:val="left" w:pos="720"/>
        </w:tabs>
      </w:pPr>
      <w:r>
        <w:t>BNP Paribas, Luxembourg Branch as fiscal agent without recourse, warranty or liability</w:t>
      </w:r>
    </w:p>
    <w:p w14:paraId="5F285608" w14:textId="77777777" w:rsidR="007409E1" w:rsidRDefault="007409E1">
      <w:pPr>
        <w:pStyle w:val="MarginText"/>
        <w:tabs>
          <w:tab w:val="left" w:pos="720"/>
        </w:tabs>
        <w:spacing w:after="0"/>
      </w:pPr>
      <w:r>
        <w:t xml:space="preserve">By: </w:t>
      </w:r>
      <w:r>
        <w:tab/>
        <w:t>…………………………………</w:t>
      </w:r>
    </w:p>
    <w:p w14:paraId="29796678" w14:textId="77777777" w:rsidR="007409E1" w:rsidRDefault="007409E1">
      <w:pPr>
        <w:pStyle w:val="MarginText"/>
        <w:tabs>
          <w:tab w:val="left" w:pos="720"/>
        </w:tabs>
        <w:spacing w:after="0"/>
        <w:ind w:left="720"/>
      </w:pPr>
      <w:r>
        <w:t>[</w:t>
      </w:r>
      <w:r>
        <w:rPr>
          <w:i/>
        </w:rPr>
        <w:t>manual or facsimile signature</w:t>
      </w:r>
      <w:r>
        <w:t>]</w:t>
      </w:r>
    </w:p>
    <w:p w14:paraId="315CE336" w14:textId="77777777" w:rsidR="007409E1" w:rsidRDefault="007409E1">
      <w:pPr>
        <w:pStyle w:val="MarginText"/>
        <w:tabs>
          <w:tab w:val="left" w:pos="720"/>
        </w:tabs>
        <w:ind w:left="720"/>
      </w:pPr>
      <w:r>
        <w:t>(</w:t>
      </w:r>
      <w:r>
        <w:rPr>
          <w:i/>
        </w:rPr>
        <w:t>duly authorised</w:t>
      </w:r>
      <w:r>
        <w:t>)</w:t>
      </w:r>
    </w:p>
    <w:p w14:paraId="53854B62" w14:textId="77777777" w:rsidR="007409E1" w:rsidRDefault="007409E1">
      <w:pPr>
        <w:pStyle w:val="MarginText"/>
        <w:tabs>
          <w:tab w:val="left" w:pos="1440"/>
        </w:tabs>
      </w:pPr>
    </w:p>
    <w:p w14:paraId="3BA9D45B" w14:textId="77777777" w:rsidR="007409E1" w:rsidRDefault="007409E1">
      <w:pPr>
        <w:pStyle w:val="MarginText"/>
        <w:tabs>
          <w:tab w:val="left" w:pos="1440"/>
        </w:tabs>
      </w:pPr>
    </w:p>
    <w:p w14:paraId="7D447428" w14:textId="77777777" w:rsidR="007409E1" w:rsidRDefault="007409E1">
      <w:pPr>
        <w:pStyle w:val="MarginText"/>
        <w:tabs>
          <w:tab w:val="left" w:pos="1440"/>
        </w:tabs>
      </w:pPr>
    </w:p>
    <w:p w14:paraId="46291F36" w14:textId="77777777" w:rsidR="007409E1" w:rsidRDefault="007409E1">
      <w:pPr>
        <w:pStyle w:val="MarginText"/>
        <w:tabs>
          <w:tab w:val="left" w:pos="1440"/>
        </w:tabs>
      </w:pPr>
      <w:r>
        <w:br w:type="page"/>
        <w:t>[</w:t>
      </w:r>
      <w:r>
        <w:rPr>
          <w:i/>
        </w:rPr>
        <w:t>On the reverse of the Note</w:t>
      </w:r>
      <w:r>
        <w:t>.]</w:t>
      </w:r>
    </w:p>
    <w:p w14:paraId="329F3E0C" w14:textId="77777777" w:rsidR="007409E1" w:rsidRDefault="007409E1">
      <w:pPr>
        <w:pStyle w:val="MarginText"/>
        <w:tabs>
          <w:tab w:val="left" w:pos="1440"/>
        </w:tabs>
        <w:jc w:val="center"/>
        <w:rPr>
          <w:b/>
        </w:rPr>
      </w:pPr>
      <w:r>
        <w:rPr>
          <w:b/>
        </w:rPr>
        <w:t>FINAL TERMS OR DRAWDOWN PROSPECTUS</w:t>
      </w:r>
    </w:p>
    <w:p w14:paraId="221C2DA0" w14:textId="77777777" w:rsidR="007409E1" w:rsidRDefault="007409E1">
      <w:pPr>
        <w:pStyle w:val="MarginText"/>
        <w:tabs>
          <w:tab w:val="left" w:pos="1440"/>
        </w:tabs>
      </w:pPr>
      <w:r>
        <w:t>The following is a copy of the relevant particulars of the Final Terms or Drawdown Prospectus.</w:t>
      </w:r>
    </w:p>
    <w:p w14:paraId="2E0F0FBE" w14:textId="77777777" w:rsidR="007409E1" w:rsidRDefault="007409E1">
      <w:pPr>
        <w:pStyle w:val="MarginText"/>
        <w:tabs>
          <w:tab w:val="left" w:pos="1440"/>
        </w:tabs>
        <w:jc w:val="center"/>
        <w:rPr>
          <w:b/>
        </w:rPr>
      </w:pPr>
      <w:r>
        <w:rPr>
          <w:b/>
        </w:rPr>
        <w:t>TERMS AND CONDITIONS</w:t>
      </w:r>
    </w:p>
    <w:p w14:paraId="12DBC3D8" w14:textId="77777777" w:rsidR="007409E1" w:rsidRDefault="007409E1">
      <w:pPr>
        <w:pStyle w:val="MarginText"/>
        <w:tabs>
          <w:tab w:val="left" w:pos="1440"/>
        </w:tabs>
      </w:pPr>
      <w:r>
        <w:t>[</w:t>
      </w:r>
      <w:r>
        <w:rPr>
          <w:i/>
        </w:rPr>
        <w:t>As set out in the Base Prospectus /Drawdown Prospectus (as applicable)</w:t>
      </w:r>
      <w:r>
        <w:t>]</w:t>
      </w:r>
    </w:p>
    <w:p w14:paraId="13F4E474" w14:textId="77777777" w:rsidR="007409E1" w:rsidRDefault="007409E1">
      <w:pPr>
        <w:pStyle w:val="MarginText"/>
        <w:tabs>
          <w:tab w:val="left" w:pos="1440"/>
        </w:tabs>
      </w:pPr>
      <w:r>
        <w:t>[</w:t>
      </w:r>
      <w:r>
        <w:rPr>
          <w:i/>
        </w:rPr>
        <w:t>At the foot of the Terms and Conditions.</w:t>
      </w:r>
      <w:r>
        <w:t>]</w:t>
      </w:r>
    </w:p>
    <w:p w14:paraId="34ECE559" w14:textId="77777777" w:rsidR="007409E1" w:rsidRDefault="007409E1">
      <w:pPr>
        <w:pStyle w:val="MarginText"/>
        <w:tabs>
          <w:tab w:val="left" w:pos="1440"/>
        </w:tabs>
        <w:jc w:val="center"/>
        <w:rPr>
          <w:b/>
        </w:rPr>
      </w:pPr>
      <w:r>
        <w:rPr>
          <w:b/>
        </w:rPr>
        <w:t>FISCAL AGENT AND PAYING AGENT</w:t>
      </w:r>
    </w:p>
    <w:p w14:paraId="7F274B70" w14:textId="77777777" w:rsidR="007409E1" w:rsidRDefault="007409E1">
      <w:pPr>
        <w:pStyle w:val="MarginText"/>
        <w:tabs>
          <w:tab w:val="left" w:pos="1440"/>
        </w:tabs>
        <w:jc w:val="center"/>
      </w:pPr>
      <w:r>
        <w:t>BNP Paribas, Luxembourg Branch</w:t>
      </w:r>
      <w:r>
        <w:br/>
        <w:t>60, avenue J.F. Kennedy, Luxembourg</w:t>
      </w:r>
      <w:r>
        <w:br/>
        <w:t>L-2085 Luxembourg</w:t>
      </w:r>
    </w:p>
    <w:p w14:paraId="21860C2A" w14:textId="77777777" w:rsidR="007409E1" w:rsidRDefault="007409E1">
      <w:pPr>
        <w:pStyle w:val="MarginText"/>
        <w:tabs>
          <w:tab w:val="left" w:pos="1440"/>
        </w:tabs>
        <w:jc w:val="center"/>
        <w:rPr>
          <w:b/>
        </w:rPr>
      </w:pPr>
      <w:r>
        <w:br w:type="page"/>
      </w:r>
      <w:r>
        <w:rPr>
          <w:b/>
        </w:rPr>
        <w:t>Form of Coupon</w:t>
      </w:r>
    </w:p>
    <w:p w14:paraId="2E8D6021" w14:textId="77777777" w:rsidR="007409E1" w:rsidRDefault="007409E1">
      <w:pPr>
        <w:pStyle w:val="MarginText"/>
        <w:tabs>
          <w:tab w:val="left" w:pos="1440"/>
        </w:tabs>
      </w:pPr>
      <w:r>
        <w:t>[</w:t>
      </w:r>
      <w:r>
        <w:rPr>
          <w:i/>
        </w:rPr>
        <w:t>On the face of the Coupon</w:t>
      </w:r>
      <w:r>
        <w:t>]</w:t>
      </w:r>
    </w:p>
    <w:p w14:paraId="00ADA6A9" w14:textId="77777777" w:rsidR="007409E1" w:rsidRDefault="007409E1">
      <w:pPr>
        <w:pStyle w:val="MarginText"/>
        <w:tabs>
          <w:tab w:val="left" w:pos="1440"/>
        </w:tabs>
      </w:pPr>
      <w:r>
        <w:t>[For Fixed Rate Notes]</w:t>
      </w:r>
    </w:p>
    <w:p w14:paraId="20DF5E9D" w14:textId="77777777" w:rsidR="007409E1" w:rsidRDefault="007409E1">
      <w:pPr>
        <w:pStyle w:val="MarginText"/>
        <w:tabs>
          <w:tab w:val="left" w:pos="1440"/>
        </w:tabs>
      </w:pPr>
      <w:r>
        <w:t>ADIF-ALTA VELOCIDAD</w:t>
      </w:r>
      <w:r>
        <w:br/>
        <w:t>[</w:t>
      </w:r>
      <w:r>
        <w:rPr>
          <w:rFonts w:ascii="Wingdings" w:hAnsi="Wingdings"/>
        </w:rPr>
        <w:t></w:t>
      </w:r>
      <w:r>
        <w:rPr>
          <w:rFonts w:hint="eastAsia"/>
        </w:rPr>
        <w:t>                    </w:t>
      </w:r>
      <w:r>
        <w:t>] Notes due [</w:t>
      </w:r>
      <w:r>
        <w:rPr>
          <w:rFonts w:ascii="Wingdings" w:hAnsi="Wingdings"/>
        </w:rPr>
        <w:t></w:t>
      </w:r>
      <w:r>
        <w:rPr>
          <w:rFonts w:hint="eastAsia"/>
        </w:rPr>
        <w:t>                    </w:t>
      </w:r>
      <w:r>
        <w:t>]</w:t>
      </w:r>
      <w:r>
        <w:br/>
        <w:t>Euro Medium Term Note Programme</w:t>
      </w:r>
      <w:r>
        <w:br/>
        <w:t>Series No.  [</w:t>
      </w:r>
      <w:r>
        <w:rPr>
          <w:rFonts w:ascii="Wingdings" w:hAnsi="Wingdings"/>
        </w:rPr>
        <w:t></w:t>
      </w:r>
      <w:r>
        <w:rPr>
          <w:rFonts w:hint="eastAsia"/>
        </w:rPr>
        <w:t>                    </w:t>
      </w:r>
      <w:r>
        <w:t>]</w:t>
      </w:r>
      <w:r>
        <w:br/>
        <w:t>[Title of Issue]</w:t>
      </w:r>
    </w:p>
    <w:p w14:paraId="343D6FE0" w14:textId="77777777" w:rsidR="007409E1" w:rsidRDefault="007409E1">
      <w:pPr>
        <w:pStyle w:val="MarginText"/>
        <w:tabs>
          <w:tab w:val="left" w:pos="1440"/>
        </w:tabs>
      </w:pPr>
      <w:r>
        <w:t>Coupon for [</w:t>
      </w:r>
      <w:r>
        <w:rPr>
          <w:rFonts w:ascii="Wingdings" w:hAnsi="Wingdings"/>
        </w:rPr>
        <w:t></w:t>
      </w:r>
      <w:r>
        <w:rPr>
          <w:rFonts w:hint="eastAsia"/>
        </w:rPr>
        <w:t>                    </w:t>
      </w:r>
      <w:r>
        <w:t>] due on [</w:t>
      </w:r>
      <w:r>
        <w:rPr>
          <w:rFonts w:ascii="Wingdings" w:hAnsi="Wingdings"/>
        </w:rPr>
        <w:t></w:t>
      </w:r>
      <w:r>
        <w:rPr>
          <w:rFonts w:hint="eastAsia"/>
        </w:rPr>
        <w:t>                    </w:t>
      </w:r>
      <w:r>
        <w:t>].</w:t>
      </w:r>
    </w:p>
    <w:p w14:paraId="33F9A441" w14:textId="77777777" w:rsidR="007409E1" w:rsidRDefault="007409E1">
      <w:pPr>
        <w:pStyle w:val="MarginText"/>
        <w:tabs>
          <w:tab w:val="left" w:pos="1440"/>
        </w:tabs>
      </w:pPr>
      <w:r>
        <w:t>Such amount is payable to the bearer of this Note, subject to the terms and conditions (the </w:t>
      </w:r>
      <w:r>
        <w:rPr>
          <w:b/>
        </w:rPr>
        <w:t>"Conditions"</w:t>
      </w:r>
      <w:r>
        <w:t>) endorsed on the Note to which this Coupon relates (which are binding on the holder of this Coupon whether or not it is for the time being attached to such Note), against presentation and surrender of this Coupon at the specified office for the time being of any of the agents shown on the reverse of this Coupon (or any successor or additional agents appointed from time to time in accordance with the Conditions).</w:t>
      </w:r>
    </w:p>
    <w:p w14:paraId="0B1F1278" w14:textId="77777777" w:rsidR="007409E1" w:rsidRDefault="007409E1">
      <w:pPr>
        <w:pStyle w:val="MarginText"/>
        <w:tabs>
          <w:tab w:val="left" w:pos="1440"/>
        </w:tabs>
      </w:pPr>
      <w:r>
        <w:t>[For Floating Rate Notes]</w:t>
      </w:r>
    </w:p>
    <w:p w14:paraId="42142DF1" w14:textId="77777777" w:rsidR="007409E1" w:rsidRDefault="007409E1">
      <w:pPr>
        <w:pStyle w:val="MarginText"/>
        <w:tabs>
          <w:tab w:val="left" w:pos="1440"/>
        </w:tabs>
      </w:pPr>
      <w:r>
        <w:t>ADIF-ALTA VELOCIDAD</w:t>
      </w:r>
      <w:r>
        <w:br/>
        <w:t>[</w:t>
      </w:r>
      <w:r>
        <w:rPr>
          <w:rFonts w:ascii="Wingdings" w:hAnsi="Wingdings"/>
        </w:rPr>
        <w:t></w:t>
      </w:r>
      <w:r>
        <w:rPr>
          <w:rFonts w:hint="eastAsia"/>
        </w:rPr>
        <w:t>                    </w:t>
      </w:r>
      <w:r>
        <w:t>] Floating Rate Notes due [</w:t>
      </w:r>
      <w:r>
        <w:rPr>
          <w:rFonts w:ascii="Wingdings" w:hAnsi="Wingdings"/>
        </w:rPr>
        <w:t></w:t>
      </w:r>
      <w:r>
        <w:rPr>
          <w:rFonts w:hint="eastAsia"/>
        </w:rPr>
        <w:t>                    </w:t>
      </w:r>
      <w:r>
        <w:t>]</w:t>
      </w:r>
      <w:r>
        <w:br/>
        <w:t>Euro Medium Term Note Programme</w:t>
      </w:r>
      <w:r>
        <w:br/>
        <w:t>Series No.  [</w:t>
      </w:r>
      <w:r>
        <w:rPr>
          <w:rFonts w:ascii="Wingdings" w:hAnsi="Wingdings"/>
        </w:rPr>
        <w:t></w:t>
      </w:r>
      <w:r>
        <w:rPr>
          <w:rFonts w:hint="eastAsia"/>
        </w:rPr>
        <w:t>                    </w:t>
      </w:r>
      <w:r>
        <w:t>]</w:t>
      </w:r>
      <w:r>
        <w:br/>
        <w:t>[Title of Issue]</w:t>
      </w:r>
    </w:p>
    <w:p w14:paraId="1B335C6B" w14:textId="77777777" w:rsidR="007409E1" w:rsidRDefault="007409E1">
      <w:pPr>
        <w:pStyle w:val="MarginText"/>
        <w:tabs>
          <w:tab w:val="left" w:pos="1440"/>
        </w:tabs>
      </w:pPr>
      <w:r>
        <w:t>This Coupon relates to a Note in the denomination of [</w:t>
      </w:r>
      <w:r>
        <w:rPr>
          <w:rFonts w:ascii="Wingdings" w:hAnsi="Wingdings"/>
        </w:rPr>
        <w:t></w:t>
      </w:r>
      <w:r>
        <w:rPr>
          <w:rFonts w:hint="eastAsia"/>
        </w:rPr>
        <w:t>                    </w:t>
      </w:r>
      <w:r>
        <w:t>].</w:t>
      </w:r>
    </w:p>
    <w:p w14:paraId="1C6D3935" w14:textId="77777777" w:rsidR="007409E1" w:rsidRDefault="007409E1">
      <w:pPr>
        <w:pStyle w:val="MarginText"/>
        <w:tabs>
          <w:tab w:val="left" w:pos="1440"/>
        </w:tabs>
      </w:pPr>
      <w:r>
        <w:t>Coupon for the amount of interest due on the Interest Payment Date falling in [</w:t>
      </w:r>
      <w:r>
        <w:rPr>
          <w:rFonts w:ascii="Wingdings" w:hAnsi="Wingdings"/>
        </w:rPr>
        <w:t></w:t>
      </w:r>
      <w:r>
        <w:rPr>
          <w:rFonts w:hint="eastAsia"/>
        </w:rPr>
        <w:t>                    </w:t>
      </w:r>
      <w:r>
        <w:t>].</w:t>
      </w:r>
    </w:p>
    <w:p w14:paraId="253872E8" w14:textId="77777777" w:rsidR="007409E1" w:rsidRDefault="007409E1">
      <w:pPr>
        <w:pStyle w:val="MarginText"/>
        <w:tabs>
          <w:tab w:val="left" w:pos="1440"/>
        </w:tabs>
      </w:pPr>
      <w:r>
        <w:t>Such amount is payable to the bearer of this Note, subject to the terms and conditions (the </w:t>
      </w:r>
      <w:r>
        <w:rPr>
          <w:b/>
        </w:rPr>
        <w:t>"Conditions"</w:t>
      </w:r>
      <w:r>
        <w:t>) endorsed on the Note to which this Coupon relates (which are binding on the holder of this Coupon whether or not it is for the time being attached to such Note), against presentation and surrender of this Coupon at the specified office for the time being of any of the agents shown on the reverse of this Coupon (or any successor or additional agents appointed from time to time in accordance with the Conditions).</w:t>
      </w:r>
    </w:p>
    <w:p w14:paraId="019D0128" w14:textId="77777777" w:rsidR="007409E1" w:rsidRDefault="007409E1">
      <w:pPr>
        <w:pStyle w:val="MarginText"/>
        <w:tabs>
          <w:tab w:val="left" w:pos="1440"/>
        </w:tabs>
      </w:pPr>
      <w:r>
        <w:t>The Note to which this Coupon relates may, in certain circumstances specified in the Conditions, fall due for redemption before the maturity date of this Coupon.  In such event, this Coupon shall become void and no payment will be made in respect hereof.</w:t>
      </w:r>
    </w:p>
    <w:p w14:paraId="7F420AF5" w14:textId="77777777" w:rsidR="007409E1" w:rsidRDefault="007409E1">
      <w:pPr>
        <w:pStyle w:val="MarginText"/>
        <w:tabs>
          <w:tab w:val="left" w:pos="1440"/>
        </w:tabs>
      </w:pPr>
      <w:r>
        <w:t>[ANY UNITED STATES PERSON WHO HOLDS THIS OBLIGATION WILL BE SUBJECT TO LIMITATIONS UNDER THE UNITED STATES INCOME TAX LAWS, INCLUDING THE LIMITATIONS PROVIDED IN SECTIONS 165(j) AND 1287(a) OF THE INTERNAL REVENUE CODE.]</w:t>
      </w:r>
      <w:r>
        <w:rPr>
          <w:rStyle w:val="FootnoteReference"/>
        </w:rPr>
        <w:footnoteReference w:id="8"/>
      </w:r>
    </w:p>
    <w:p w14:paraId="23AB5863" w14:textId="77777777" w:rsidR="007409E1" w:rsidRDefault="007409E1">
      <w:pPr>
        <w:pStyle w:val="MarginText"/>
        <w:tabs>
          <w:tab w:val="left" w:pos="1440"/>
        </w:tabs>
      </w:pPr>
    </w:p>
    <w:p w14:paraId="7F6A84E2" w14:textId="77777777" w:rsidR="007409E1" w:rsidRDefault="007409E1">
      <w:pPr>
        <w:pStyle w:val="MarginText"/>
        <w:tabs>
          <w:tab w:val="left" w:pos="1440"/>
        </w:tabs>
      </w:pPr>
      <w:r>
        <w:t>[</w:t>
      </w:r>
      <w:r>
        <w:rPr>
          <w:i/>
        </w:rPr>
        <w:t>On the reverse of the Coupon</w:t>
      </w:r>
      <w:r>
        <w:t>]</w:t>
      </w:r>
    </w:p>
    <w:p w14:paraId="3478D7C6" w14:textId="77777777" w:rsidR="007409E1" w:rsidRDefault="007409E1">
      <w:pPr>
        <w:pStyle w:val="MarginText"/>
        <w:tabs>
          <w:tab w:val="left" w:pos="1440"/>
        </w:tabs>
      </w:pPr>
      <w:r>
        <w:t xml:space="preserve">Fiscal Agent: BNP Paribas, Luxembourg Branch </w:t>
      </w:r>
    </w:p>
    <w:p w14:paraId="1AFAA292" w14:textId="77777777" w:rsidR="007409E1" w:rsidRDefault="007409E1">
      <w:pPr>
        <w:pStyle w:val="MarginText"/>
        <w:tabs>
          <w:tab w:val="left" w:pos="1440"/>
        </w:tabs>
      </w:pPr>
      <w:r>
        <w:t>Paying Agent: BNP Paribas, Luxembourg Branch</w:t>
      </w:r>
    </w:p>
    <w:p w14:paraId="1C3B7423" w14:textId="77777777" w:rsidR="007409E1" w:rsidRDefault="007409E1">
      <w:pPr>
        <w:pStyle w:val="MarginText"/>
        <w:tabs>
          <w:tab w:val="left" w:pos="1440"/>
        </w:tabs>
      </w:pPr>
      <w:r>
        <w:t xml:space="preserve"> </w:t>
      </w:r>
    </w:p>
    <w:p w14:paraId="2FE325ED" w14:textId="77777777" w:rsidR="007409E1" w:rsidRDefault="007409E1">
      <w:pPr>
        <w:pStyle w:val="MarginText"/>
        <w:tabs>
          <w:tab w:val="left" w:pos="1440"/>
        </w:tabs>
        <w:jc w:val="center"/>
        <w:rPr>
          <w:b/>
        </w:rPr>
      </w:pPr>
      <w:r>
        <w:rPr>
          <w:b/>
        </w:rPr>
        <w:br w:type="page"/>
        <w:t>[Form of Talon</w:t>
      </w:r>
    </w:p>
    <w:p w14:paraId="3832CC51" w14:textId="77777777" w:rsidR="007409E1" w:rsidRDefault="007409E1">
      <w:pPr>
        <w:pStyle w:val="MarginText"/>
        <w:tabs>
          <w:tab w:val="left" w:pos="1440"/>
        </w:tabs>
      </w:pPr>
      <w:r>
        <w:t>[On the face of the Talon:]</w:t>
      </w:r>
    </w:p>
    <w:p w14:paraId="0FD50364" w14:textId="77777777" w:rsidR="007409E1" w:rsidRDefault="007409E1">
      <w:pPr>
        <w:pStyle w:val="MarginText"/>
        <w:tabs>
          <w:tab w:val="left" w:pos="1440"/>
        </w:tabs>
      </w:pPr>
      <w:r>
        <w:t>ADIF-ALTA VELOCIDAD</w:t>
      </w:r>
      <w:r>
        <w:br/>
        <w:t>Euro Medium Term Note Programme</w:t>
      </w:r>
      <w:r>
        <w:br/>
        <w:t>Series No.  [</w:t>
      </w:r>
      <w:r>
        <w:rPr>
          <w:rFonts w:ascii="Wingdings" w:hAnsi="Wingdings"/>
        </w:rPr>
        <w:t></w:t>
      </w:r>
      <w:r>
        <w:rPr>
          <w:rFonts w:hint="eastAsia"/>
        </w:rPr>
        <w:t>                    </w:t>
      </w:r>
      <w:r>
        <w:t>]</w:t>
      </w:r>
      <w:r>
        <w:br/>
        <w:t>[Title of Issue]</w:t>
      </w:r>
      <w:r>
        <w:br/>
        <w:t>[</w:t>
      </w:r>
      <w:r>
        <w:rPr>
          <w:rFonts w:ascii="Wingdings" w:hAnsi="Wingdings"/>
        </w:rPr>
        <w:t></w:t>
      </w:r>
      <w:r>
        <w:rPr>
          <w:rFonts w:hint="eastAsia"/>
        </w:rPr>
        <w:t>                    </w:t>
      </w:r>
      <w:r>
        <w:t>] [[</w:t>
      </w:r>
      <w:r>
        <w:rPr>
          <w:rFonts w:ascii="Wingdings" w:hAnsi="Wingdings"/>
        </w:rPr>
        <w:t></w:t>
      </w:r>
      <w:r>
        <w:rPr>
          <w:rFonts w:hint="eastAsia"/>
        </w:rPr>
        <w:t>                    </w:t>
      </w:r>
      <w:r>
        <w:t>]/Floating Rate] Notes due [</w:t>
      </w:r>
      <w:r>
        <w:rPr>
          <w:rFonts w:ascii="Wingdings" w:hAnsi="Wingdings"/>
        </w:rPr>
        <w:t></w:t>
      </w:r>
      <w:r>
        <w:rPr>
          <w:rFonts w:hint="eastAsia"/>
        </w:rPr>
        <w:t>                    </w:t>
      </w:r>
      <w:r>
        <w:t>]</w:t>
      </w:r>
      <w:r>
        <w:br/>
        <w:t>Talon for further Coupons [following due on [•]].</w:t>
      </w:r>
    </w:p>
    <w:p w14:paraId="79EFBD23" w14:textId="77777777" w:rsidR="007409E1" w:rsidRDefault="007409E1">
      <w:pPr>
        <w:pStyle w:val="MarginText"/>
        <w:tabs>
          <w:tab w:val="left" w:pos="1440"/>
        </w:tabs>
      </w:pPr>
      <w:r>
        <w:t xml:space="preserve">On or after the maturity date of the final Coupon which is (or was at the time of issue) part of the Coupon Sheet to which this Talon is (or was at the time of issue) attached, this Talon may upon production and surrender of this Talon be exchanged at the specified office for the time being of the fiscal agent shown on the reverse of this Talon (or any successor fiscal agent appointed from time to time in accordance with the terms and conditions (the </w:t>
      </w:r>
      <w:r>
        <w:rPr>
          <w:b/>
        </w:rPr>
        <w:t>"Conditions"</w:t>
      </w:r>
      <w:r>
        <w:t>) of the Notes to which this Talon relates) for a further Coupon Sheet (including a further Talon but excluding any Coupons in respect of which claims have already become void pursuant to the Conditions).</w:t>
      </w:r>
    </w:p>
    <w:p w14:paraId="7D37CF30" w14:textId="77777777" w:rsidR="007409E1" w:rsidRDefault="007409E1">
      <w:pPr>
        <w:pStyle w:val="MarginText"/>
        <w:tabs>
          <w:tab w:val="left" w:pos="1440"/>
        </w:tabs>
      </w:pPr>
      <w:r>
        <w:t>The Note to which this Talon relates may, in certain circumstances specified in the Conditions, fall due for redemption before the maturity date of such final Coupon.  In such event, this Talon shall become void and no Coupon will be delivered in respect hereof.</w:t>
      </w:r>
    </w:p>
    <w:p w14:paraId="61145ECB" w14:textId="77777777" w:rsidR="007409E1" w:rsidRDefault="007409E1">
      <w:pPr>
        <w:pStyle w:val="MarginText"/>
        <w:tabs>
          <w:tab w:val="left" w:pos="1440"/>
        </w:tabs>
      </w:pPr>
      <w:r>
        <w:t>[ANY UNITED STATES PERSON WHO HOLDS THIS OBLIGATION WILL BE SUBJECT TO LIMITATIONS UNDER THE UNITED STATES INCOME TAX LAWS, INCLUDING THE LIMITATIONS PROVIDED IN SECTIONS 165(j) AND 1287(a) OF THE INTERNAL REVENUE CODE.]</w:t>
      </w:r>
      <w:r>
        <w:rPr>
          <w:rStyle w:val="FootnoteReference"/>
        </w:rPr>
        <w:footnoteReference w:id="9"/>
      </w:r>
      <w:r>
        <w:t>h</w:t>
      </w:r>
    </w:p>
    <w:p w14:paraId="65858369" w14:textId="77777777" w:rsidR="007409E1" w:rsidRDefault="007409E1">
      <w:pPr>
        <w:pStyle w:val="MarginText"/>
        <w:tabs>
          <w:tab w:val="left" w:pos="1440"/>
        </w:tabs>
      </w:pPr>
      <w:r>
        <w:t>[On the reverse of the Talon:]</w:t>
      </w:r>
    </w:p>
    <w:p w14:paraId="4E0F420A" w14:textId="77777777" w:rsidR="007409E1" w:rsidRDefault="007409E1">
      <w:pPr>
        <w:pStyle w:val="MarginText"/>
        <w:tabs>
          <w:tab w:val="left" w:pos="1440"/>
        </w:tabs>
      </w:pPr>
      <w:r>
        <w:t xml:space="preserve">Fiscal Agent: BNP Paribas, Luxembourg Branch </w:t>
      </w:r>
    </w:p>
    <w:p w14:paraId="3A654CE1" w14:textId="77777777" w:rsidR="007409E1" w:rsidRDefault="007409E1">
      <w:pPr>
        <w:pStyle w:val="MarginText"/>
        <w:tabs>
          <w:tab w:val="left" w:pos="1440"/>
        </w:tabs>
      </w:pPr>
      <w:r>
        <w:t>By:</w:t>
      </w:r>
    </w:p>
    <w:tbl>
      <w:tblPr>
        <w:tblW w:w="0" w:type="auto"/>
        <w:tblLook w:val="04A0" w:firstRow="1" w:lastRow="0" w:firstColumn="1" w:lastColumn="0" w:noHBand="0" w:noVBand="1"/>
      </w:tblPr>
      <w:tblGrid>
        <w:gridCol w:w="2358"/>
        <w:gridCol w:w="2250"/>
        <w:gridCol w:w="2340"/>
        <w:gridCol w:w="2297"/>
      </w:tblGrid>
      <w:tr w:rsidR="007409E1" w14:paraId="688E1855" w14:textId="77777777">
        <w:tc>
          <w:tcPr>
            <w:tcW w:w="2358" w:type="dxa"/>
            <w:shd w:val="clear" w:color="auto" w:fill="auto"/>
          </w:tcPr>
          <w:p w14:paraId="5B432602" w14:textId="77777777" w:rsidR="007409E1" w:rsidRDefault="007409E1">
            <w:pPr>
              <w:pStyle w:val="MarginText"/>
              <w:overflowPunct w:val="0"/>
              <w:autoSpaceDE w:val="0"/>
              <w:autoSpaceDN w:val="0"/>
              <w:textAlignment w:val="baseline"/>
            </w:pPr>
            <w:r>
              <w:t>[Talon No.]</w:t>
            </w:r>
          </w:p>
        </w:tc>
        <w:tc>
          <w:tcPr>
            <w:tcW w:w="2250" w:type="dxa"/>
            <w:shd w:val="clear" w:color="auto" w:fill="auto"/>
          </w:tcPr>
          <w:p w14:paraId="3A160580" w14:textId="77777777" w:rsidR="007409E1" w:rsidRDefault="007409E1">
            <w:pPr>
              <w:pStyle w:val="MarginText"/>
              <w:overflowPunct w:val="0"/>
              <w:autoSpaceDE w:val="0"/>
              <w:autoSpaceDN w:val="0"/>
              <w:textAlignment w:val="baseline"/>
            </w:pPr>
            <w:r>
              <w:t>[ISIN]</w:t>
            </w:r>
          </w:p>
        </w:tc>
        <w:tc>
          <w:tcPr>
            <w:tcW w:w="2340" w:type="dxa"/>
            <w:shd w:val="clear" w:color="auto" w:fill="auto"/>
          </w:tcPr>
          <w:p w14:paraId="79DDD31E" w14:textId="77777777" w:rsidR="007409E1" w:rsidRDefault="007409E1">
            <w:pPr>
              <w:pStyle w:val="MarginText"/>
              <w:overflowPunct w:val="0"/>
              <w:autoSpaceDE w:val="0"/>
              <w:autoSpaceDN w:val="0"/>
              <w:textAlignment w:val="baseline"/>
            </w:pPr>
            <w:r>
              <w:t>[Series]</w:t>
            </w:r>
          </w:p>
        </w:tc>
        <w:tc>
          <w:tcPr>
            <w:tcW w:w="2297" w:type="dxa"/>
            <w:shd w:val="clear" w:color="auto" w:fill="auto"/>
          </w:tcPr>
          <w:p w14:paraId="4DF91B03" w14:textId="77777777" w:rsidR="007409E1" w:rsidRDefault="007409E1">
            <w:pPr>
              <w:pStyle w:val="MarginText"/>
              <w:overflowPunct w:val="0"/>
              <w:autoSpaceDE w:val="0"/>
              <w:autoSpaceDN w:val="0"/>
              <w:textAlignment w:val="baseline"/>
            </w:pPr>
            <w:r>
              <w:t>[Certificate No.]</w:t>
            </w:r>
          </w:p>
        </w:tc>
      </w:tr>
    </w:tbl>
    <w:p w14:paraId="2E485158" w14:textId="77777777" w:rsidR="007409E1" w:rsidRDefault="007409E1" w:rsidP="00F84E30">
      <w:pPr>
        <w:pStyle w:val="MarginText"/>
        <w:tabs>
          <w:tab w:val="left" w:pos="1440"/>
        </w:tabs>
      </w:pPr>
    </w:p>
    <w:sectPr w:rsidR="007409E1">
      <w:endnotePr>
        <w:numFmt w:val="decimal"/>
      </w:endnotePr>
      <w:type w:val="continuous"/>
      <w:pgSz w:w="11909" w:h="16834" w:code="9"/>
      <w:pgMar w:top="1440" w:right="1440" w:bottom="180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9A5F17" w14:textId="77777777" w:rsidR="00CA4722" w:rsidRDefault="00CA4722">
      <w:pPr>
        <w:spacing w:line="20" w:lineRule="exact"/>
      </w:pPr>
    </w:p>
  </w:endnote>
  <w:endnote w:type="continuationSeparator" w:id="0">
    <w:p w14:paraId="37CBA5F5" w14:textId="77777777" w:rsidR="00CA4722" w:rsidRDefault="00CA4722">
      <w:pPr>
        <w:spacing w:line="20" w:lineRule="exact"/>
      </w:pPr>
      <w:r>
        <w:t xml:space="preserve"> </w:t>
      </w:r>
    </w:p>
  </w:endnote>
  <w:endnote w:type="continuationNotice" w:id="1">
    <w:p w14:paraId="18C5BE58" w14:textId="77777777" w:rsidR="00CA4722" w:rsidRDefault="00CA4722">
      <w:pPr>
        <w:spacing w:line="20" w:lineRule="exact"/>
      </w:pPr>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TZhongsong">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NewRoman">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F3F51" w14:textId="77777777" w:rsidR="007409E1" w:rsidRDefault="007409E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55</w:t>
    </w:r>
    <w:r>
      <w:rPr>
        <w:rStyle w:val="PageNumber"/>
      </w:rPr>
      <w:fldChar w:fldCharType="end"/>
    </w:r>
  </w:p>
  <w:p w14:paraId="2CDCDB9F" w14:textId="77777777" w:rsidR="007409E1" w:rsidRDefault="007409E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1310C" w14:textId="77777777" w:rsidR="007409E1" w:rsidRDefault="007409E1">
    <w:pPr>
      <w:pStyle w:val="Footer"/>
      <w:pBdr>
        <w:top w:val="single" w:sz="6" w:space="1" w:color="auto"/>
      </w:pBdr>
      <w:tabs>
        <w:tab w:val="clear" w:pos="4153"/>
        <w:tab w:val="clear" w:pos="8306"/>
        <w:tab w:val="right" w:pos="9072"/>
      </w:tabs>
      <w:rPr>
        <w:rStyle w:val="PageNumber"/>
        <w:sz w:val="16"/>
      </w:rPr>
    </w:pPr>
    <w:r>
      <w:rPr>
        <w:sz w:val="16"/>
      </w:rPr>
      <w:fldChar w:fldCharType="begin"/>
    </w:r>
    <w:r>
      <w:rPr>
        <w:sz w:val="16"/>
      </w:rPr>
      <w:instrText xml:space="preserve"> TITLE \* Upper \* MERGEFORMAT </w:instrText>
    </w:r>
    <w:r>
      <w:rPr>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9B0CF" w14:textId="77777777" w:rsidR="007409E1" w:rsidRDefault="007409E1">
    <w:pPr>
      <w:tabs>
        <w:tab w:val="left" w:pos="-720"/>
      </w:tabs>
      <w:suppressAutoHyphens/>
      <w:ind w:right="-331"/>
      <w:rPr>
        <w:vanish/>
        <w:spacing w:val="-3"/>
      </w:rPr>
    </w:pPr>
  </w:p>
  <w:tbl>
    <w:tblPr>
      <w:tblW w:w="0" w:type="auto"/>
      <w:tblInd w:w="8" w:type="dxa"/>
      <w:tblBorders>
        <w:top w:val="double" w:sz="6" w:space="0" w:color="auto"/>
      </w:tblBorders>
      <w:tblLayout w:type="fixed"/>
      <w:tblCellMar>
        <w:left w:w="0" w:type="dxa"/>
        <w:right w:w="0" w:type="dxa"/>
      </w:tblCellMar>
      <w:tblLook w:val="0000" w:firstRow="0" w:lastRow="0" w:firstColumn="0" w:lastColumn="0" w:noHBand="0" w:noVBand="0"/>
    </w:tblPr>
    <w:tblGrid>
      <w:gridCol w:w="3758"/>
      <w:gridCol w:w="5314"/>
    </w:tblGrid>
    <w:tr w:rsidR="007409E1" w14:paraId="7735FC78" w14:textId="77777777">
      <w:trPr>
        <w:hidden/>
      </w:trPr>
      <w:tc>
        <w:tcPr>
          <w:tcW w:w="3758" w:type="dxa"/>
          <w:tcBorders>
            <w:top w:val="single" w:sz="4" w:space="0" w:color="auto"/>
          </w:tcBorders>
        </w:tcPr>
        <w:p w14:paraId="0B30E9F1" w14:textId="77777777" w:rsidR="007409E1" w:rsidRDefault="007409E1">
          <w:pPr>
            <w:pStyle w:val="Footer"/>
            <w:tabs>
              <w:tab w:val="clear" w:pos="4153"/>
            </w:tabs>
            <w:rPr>
              <w:vanish/>
              <w:lang w:val="es-ES"/>
            </w:rPr>
          </w:pPr>
        </w:p>
      </w:tc>
      <w:tc>
        <w:tcPr>
          <w:tcW w:w="5314" w:type="dxa"/>
          <w:tcBorders>
            <w:top w:val="single" w:sz="4" w:space="0" w:color="auto"/>
          </w:tcBorders>
        </w:tcPr>
        <w:p w14:paraId="6E8B75E0" w14:textId="77777777" w:rsidR="007409E1" w:rsidRDefault="007409E1">
          <w:pPr>
            <w:pStyle w:val="Footer"/>
            <w:jc w:val="right"/>
            <w:rPr>
              <w:vanish/>
            </w:rPr>
          </w:pPr>
        </w:p>
      </w:tc>
    </w:tr>
    <w:tr w:rsidR="007409E1" w14:paraId="5BCDAC9E" w14:textId="77777777">
      <w:trPr>
        <w:hidden/>
      </w:trPr>
      <w:tc>
        <w:tcPr>
          <w:tcW w:w="3758" w:type="dxa"/>
        </w:tcPr>
        <w:p w14:paraId="6D238F96" w14:textId="77777777" w:rsidR="007409E1" w:rsidRDefault="007409E1">
          <w:pPr>
            <w:pStyle w:val="Footer"/>
            <w:tabs>
              <w:tab w:val="clear" w:pos="4153"/>
            </w:tabs>
            <w:rPr>
              <w:vanish/>
            </w:rPr>
          </w:pPr>
        </w:p>
      </w:tc>
      <w:tc>
        <w:tcPr>
          <w:tcW w:w="5314" w:type="dxa"/>
          <w:vAlign w:val="bottom"/>
        </w:tcPr>
        <w:p w14:paraId="08486169" w14:textId="77777777" w:rsidR="007409E1" w:rsidRDefault="007409E1">
          <w:pPr>
            <w:pStyle w:val="Footer"/>
            <w:ind w:right="80"/>
            <w:jc w:val="right"/>
            <w:rPr>
              <w:vanish/>
              <w:szCs w:val="16"/>
            </w:rPr>
          </w:pPr>
        </w:p>
      </w:tc>
    </w:tr>
  </w:tbl>
  <w:p w14:paraId="7C64216E" w14:textId="77777777" w:rsidR="007409E1" w:rsidRDefault="007409E1"/>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AD2C9" w14:textId="77777777" w:rsidR="007409E1" w:rsidRDefault="007409E1">
    <w:pPr>
      <w:pStyle w:val="Footer"/>
      <w:tabs>
        <w:tab w:val="clear" w:pos="4153"/>
        <w:tab w:val="clear" w:pos="8306"/>
        <w:tab w:val="center" w:pos="4500"/>
        <w:tab w:val="right" w:pos="9000"/>
      </w:tabs>
    </w:pPr>
    <w:r>
      <w:rPr>
        <w:noProof/>
      </w:rPr>
      <w:pict w14:anchorId="4EB28058">
        <v:shapetype id="_x0000_t32" coordsize="21600,21600" o:spt="32" o:oned="t" path="m,l21600,21600e" filled="f">
          <v:path arrowok="t" fillok="f" o:connecttype="none"/>
          <o:lock v:ext="edit" shapetype="t"/>
        </v:shapetype>
        <v:shape id="_x0000_s1025" type="#_x0000_t32" style="position:absolute;margin-left:0;margin-top:.15pt;width:451.45pt;height:0;z-index:251657216;mso-width-percent:1000;mso-width-percent:1000;mso-width-relative:margin" o:connectortype="straight" strokeweight=".5pt"/>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1F219" w14:textId="77777777" w:rsidR="007409E1" w:rsidRDefault="007409E1">
    <w:pPr>
      <w:pStyle w:val="Footer"/>
      <w:pBdr>
        <w:top w:val="single" w:sz="6" w:space="1" w:color="auto"/>
      </w:pBdr>
      <w:tabs>
        <w:tab w:val="clear" w:pos="8306"/>
        <w:tab w:val="right" w:pos="9000"/>
      </w:tabs>
      <w:rPr>
        <w:i/>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53ED2" w14:textId="77777777" w:rsidR="007409E1" w:rsidRDefault="007409E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0B7BF54" w14:textId="77777777" w:rsidR="007409E1" w:rsidRDefault="007409E1">
    <w:pPr>
      <w:pStyle w:val="Footer"/>
      <w:tabs>
        <w:tab w:val="clear" w:pos="4153"/>
        <w:tab w:val="clear" w:pos="8306"/>
        <w:tab w:val="right" w:pos="9090"/>
      </w:tabs>
      <w:rPr>
        <w:sz w:val="2"/>
        <w:szCs w:val="2"/>
      </w:rPr>
    </w:pPr>
    <w:r>
      <w:rPr>
        <w:noProof/>
        <w:sz w:val="2"/>
        <w:szCs w:val="2"/>
      </w:rPr>
      <w:pict w14:anchorId="30F281B7">
        <v:shapetype id="_x0000_t32" coordsize="21600,21600" o:spt="32" o:oned="t" path="m,l21600,21600e" filled="f">
          <v:path arrowok="t" fillok="f" o:connecttype="none"/>
          <o:lock v:ext="edit" shapetype="t"/>
        </v:shapetype>
        <v:shape id="_x0000_s1026" type="#_x0000_t32" style="position:absolute;margin-left:0;margin-top:-.95pt;width:451.45pt;height:0;z-index:251658240;mso-width-percent:1000;mso-position-horizontal:center;mso-width-percent:1000;mso-width-relative:margin" o:connectortype="straight" strokeweight=".5pt"/>
      </w:pict>
    </w:r>
  </w:p>
  <w:p w14:paraId="6433C677" w14:textId="77777777" w:rsidR="007409E1" w:rsidRDefault="007409E1">
    <w:pPr>
      <w:pStyle w:val="Footer"/>
      <w:tabs>
        <w:tab w:val="clear" w:pos="4153"/>
        <w:tab w:val="clear" w:pos="8306"/>
        <w:tab w:val="right" w:pos="9090"/>
      </w:tabs>
      <w:rPr>
        <w:rStyle w:val="PageNumber"/>
        <w:sz w:val="16"/>
        <w:szCs w:val="16"/>
      </w:rPr>
    </w:pPr>
    <w:r>
      <w:rPr>
        <w:sz w:val="16"/>
        <w:szCs w:val="16"/>
      </w:rPr>
      <w:tab/>
    </w:r>
  </w:p>
  <w:p w14:paraId="3151B1FA" w14:textId="77777777" w:rsidR="007409E1" w:rsidRDefault="007409E1">
    <w:pPr>
      <w:pStyle w:val="Footer"/>
      <w:rPr>
        <w:i/>
        <w:iCs/>
        <w:vanish/>
        <w:sz w:val="16"/>
        <w:szCs w:val="16"/>
      </w:rPr>
    </w:pPr>
  </w:p>
  <w:p w14:paraId="26258922" w14:textId="77777777" w:rsidR="007409E1" w:rsidRDefault="007409E1">
    <w:pPr>
      <w:pStyle w:val="Footer"/>
      <w:rPr>
        <w:i/>
        <w:iCs/>
        <w:vanish/>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6555FE" w14:textId="77777777" w:rsidR="00CA4722" w:rsidRDefault="00CA4722">
      <w:r>
        <w:separator/>
      </w:r>
    </w:p>
  </w:footnote>
  <w:footnote w:type="continuationSeparator" w:id="0">
    <w:p w14:paraId="302D7C4B" w14:textId="77777777" w:rsidR="00CA4722" w:rsidRDefault="00CA4722">
      <w:r>
        <w:continuationSeparator/>
      </w:r>
    </w:p>
  </w:footnote>
  <w:footnote w:type="continuationNotice" w:id="1">
    <w:p w14:paraId="6F29FAF1" w14:textId="77777777" w:rsidR="00CA4722" w:rsidRDefault="00CA4722"/>
  </w:footnote>
  <w:footnote w:id="2">
    <w:p w14:paraId="626729D6" w14:textId="77777777" w:rsidR="00D42069" w:rsidRDefault="00D42069" w:rsidP="00D42069">
      <w:pPr>
        <w:pStyle w:val="FootnoteText"/>
        <w:rPr>
          <w:i/>
        </w:rPr>
      </w:pPr>
      <w:r>
        <w:rPr>
          <w:rStyle w:val="FootnoteReference"/>
        </w:rPr>
        <w:footnoteRef/>
      </w:r>
      <w:r>
        <w:t xml:space="preserve"> </w:t>
      </w:r>
      <w:r>
        <w:tab/>
      </w:r>
      <w:r>
        <w:rPr>
          <w:i/>
        </w:rPr>
        <w:t>When preparing Final Terms prepared in relation to an issuance of Notes to be listed on a non-regulated market, Prospectus Regulation references are to be removed.</w:t>
      </w:r>
    </w:p>
  </w:footnote>
  <w:footnote w:id="3">
    <w:p w14:paraId="2ABCE736" w14:textId="77777777" w:rsidR="007409E1" w:rsidRDefault="007409E1">
      <w:pPr>
        <w:pStyle w:val="FootnoteText"/>
      </w:pPr>
      <w:r>
        <w:rPr>
          <w:rStyle w:val="FootnoteReference"/>
        </w:rPr>
        <w:footnoteRef/>
      </w:r>
      <w:r>
        <w:t xml:space="preserve"> </w:t>
      </w:r>
      <w:r>
        <w:tab/>
        <w:t>Legend to appear on every Note with a maturity of more than one year.</w:t>
      </w:r>
    </w:p>
  </w:footnote>
  <w:footnote w:id="4">
    <w:p w14:paraId="2BFECEBF" w14:textId="77777777" w:rsidR="007409E1" w:rsidRDefault="007409E1">
      <w:pPr>
        <w:pStyle w:val="FootnoteText"/>
      </w:pPr>
      <w:r>
        <w:rPr>
          <w:rStyle w:val="FootnoteReference"/>
        </w:rPr>
        <w:footnoteRef/>
      </w:r>
      <w:r>
        <w:tab/>
        <w:t>Schedule 1 should only be completed where the Final Terms specify that the New Global Note form is not applicable.</w:t>
      </w:r>
    </w:p>
  </w:footnote>
  <w:footnote w:id="5">
    <w:p w14:paraId="694E3DD7" w14:textId="77777777" w:rsidR="007409E1" w:rsidRDefault="007409E1">
      <w:pPr>
        <w:pStyle w:val="FootnoteText"/>
      </w:pPr>
      <w:r>
        <w:rPr>
          <w:rStyle w:val="FootnoteReference"/>
        </w:rPr>
        <w:footnoteRef/>
      </w:r>
      <w:r>
        <w:tab/>
        <w:t>[Note that the date is not to be earlier than the Exchange Date as defined in the Temporary Global Certificate.]</w:t>
      </w:r>
    </w:p>
  </w:footnote>
  <w:footnote w:id="6">
    <w:p w14:paraId="79A753BE" w14:textId="77777777" w:rsidR="007409E1" w:rsidRDefault="007409E1">
      <w:pPr>
        <w:pStyle w:val="FootnoteText"/>
      </w:pPr>
      <w:r>
        <w:rPr>
          <w:rStyle w:val="FootnoteReference"/>
        </w:rPr>
        <w:footnoteRef/>
      </w:r>
      <w:r>
        <w:tab/>
        <w:t>Legend to appear on every Note with a maturity of more than one year.</w:t>
      </w:r>
    </w:p>
  </w:footnote>
  <w:footnote w:id="7">
    <w:p w14:paraId="23449CC8" w14:textId="77777777" w:rsidR="007409E1" w:rsidRDefault="007409E1">
      <w:pPr>
        <w:pStyle w:val="FootnoteText"/>
      </w:pPr>
      <w:r>
        <w:rPr>
          <w:rStyle w:val="FootnoteReference"/>
        </w:rPr>
        <w:footnoteRef/>
      </w:r>
      <w:r>
        <w:tab/>
        <w:t>Legend to appear on every Note with a maturity of more than one year.</w:t>
      </w:r>
    </w:p>
  </w:footnote>
  <w:footnote w:id="8">
    <w:p w14:paraId="1A3F68C5" w14:textId="77777777" w:rsidR="007409E1" w:rsidRDefault="007409E1">
      <w:pPr>
        <w:pStyle w:val="FootnoteText"/>
      </w:pPr>
      <w:r>
        <w:rPr>
          <w:rStyle w:val="FootnoteReference"/>
        </w:rPr>
        <w:footnoteRef/>
      </w:r>
      <w:r>
        <w:tab/>
        <w:t>Legend to appear on every Coupon relating to a Note with a maturity of more than one year.</w:t>
      </w:r>
    </w:p>
  </w:footnote>
  <w:footnote w:id="9">
    <w:p w14:paraId="0DA30551" w14:textId="77777777" w:rsidR="007409E1" w:rsidRDefault="007409E1">
      <w:pPr>
        <w:pStyle w:val="FootnoteText"/>
      </w:pPr>
      <w:r>
        <w:rPr>
          <w:rStyle w:val="FootnoteReference"/>
        </w:rPr>
        <w:footnoteRef/>
      </w:r>
      <w:r>
        <w:tab/>
        <w:t>Legend to appear on every Talon relating to a Note with a maturity of more than one year.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4D9D9" w14:textId="77777777" w:rsidR="001773F2" w:rsidRDefault="001773F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42E75D" w14:textId="77777777" w:rsidR="007409E1" w:rsidRDefault="007409E1">
    <w:pPr>
      <w:pStyle w:val="Header"/>
      <w:tabs>
        <w:tab w:val="clear" w:pos="4153"/>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E9957" w14:textId="77777777" w:rsidR="007409E1" w:rsidRDefault="00BC16C1">
    <w:pPr>
      <w:pStyle w:val="Header"/>
      <w:jc w:val="right"/>
      <w:rPr>
        <w:lang w:val="es-ES"/>
      </w:rPr>
    </w:pPr>
    <w:r w:rsidRPr="00BC16C1">
      <w:rPr>
        <w:lang w:val="es-ES"/>
      </w:rPr>
      <w:t xml:space="preserve">Execution Copy </w:t>
    </w:r>
    <w:r w:rsidR="003D6DDB">
      <w:rPr>
        <w:lang w:val="es-E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446931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A9A8062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19461D6"/>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B927F4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1B0B3A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CD2910C"/>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CA82478"/>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44765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99E4CA4"/>
    <w:lvl w:ilvl="0">
      <w:start w:val="1"/>
      <w:numFmt w:val="decimal"/>
      <w:pStyle w:val="ListNumber"/>
      <w:lvlText w:val="%1."/>
      <w:lvlJc w:val="left"/>
      <w:pPr>
        <w:tabs>
          <w:tab w:val="num" w:pos="360"/>
        </w:tabs>
        <w:ind w:left="360" w:hanging="360"/>
      </w:pPr>
    </w:lvl>
  </w:abstractNum>
  <w:abstractNum w:abstractNumId="9" w15:restartNumberingAfterBreak="0">
    <w:nsid w:val="04723DB5"/>
    <w:multiLevelType w:val="multilevel"/>
    <w:tmpl w:val="AE14A288"/>
    <w:name w:val="Definition Numbering List"/>
    <w:lvl w:ilvl="0">
      <w:start w:val="1"/>
      <w:numFmt w:val="none"/>
      <w:pStyle w:val="BodyTextIndent"/>
      <w:suff w:val="nothing"/>
      <w:lvlText w:val=""/>
      <w:lvlJc w:val="left"/>
      <w:pPr>
        <w:tabs>
          <w:tab w:val="num" w:pos="720"/>
        </w:tabs>
        <w:ind w:left="720" w:firstLine="0"/>
      </w:pPr>
      <w:rPr>
        <w:caps w:val="0"/>
        <w:effect w:val="none"/>
      </w:rPr>
    </w:lvl>
    <w:lvl w:ilvl="1">
      <w:start w:val="1"/>
      <w:numFmt w:val="none"/>
      <w:lvlRestart w:val="0"/>
      <w:pStyle w:val="BodyTextIndent2"/>
      <w:suff w:val="nothing"/>
      <w:lvlText w:val=""/>
      <w:lvlJc w:val="left"/>
      <w:pPr>
        <w:tabs>
          <w:tab w:val="num" w:pos="720"/>
        </w:tabs>
        <w:ind w:left="720" w:firstLine="0"/>
      </w:pPr>
      <w:rPr>
        <w:caps w:val="0"/>
        <w:effect w:val="none"/>
      </w:rPr>
    </w:lvl>
    <w:lvl w:ilvl="2">
      <w:start w:val="1"/>
      <w:numFmt w:val="lowerLetter"/>
      <w:pStyle w:val="DefinitionNumbering1"/>
      <w:lvlText w:val="(%3)"/>
      <w:lvlJc w:val="left"/>
      <w:pPr>
        <w:tabs>
          <w:tab w:val="num" w:pos="1440"/>
        </w:tabs>
        <w:ind w:left="1440" w:hanging="720"/>
      </w:pPr>
      <w:rPr>
        <w:caps w:val="0"/>
        <w:effect w:val="none"/>
      </w:rPr>
    </w:lvl>
    <w:lvl w:ilvl="3">
      <w:start w:val="1"/>
      <w:numFmt w:val="lowerRoman"/>
      <w:pStyle w:val="DefinitionNumbering2"/>
      <w:lvlText w:val="(%4)"/>
      <w:lvlJc w:val="left"/>
      <w:pPr>
        <w:tabs>
          <w:tab w:val="num" w:pos="2160"/>
        </w:tabs>
        <w:ind w:left="2160" w:hanging="720"/>
      </w:pPr>
      <w:rPr>
        <w:caps w:val="0"/>
        <w:effect w:val="none"/>
      </w:rPr>
    </w:lvl>
    <w:lvl w:ilvl="4">
      <w:start w:val="1"/>
      <w:numFmt w:val="upperLetter"/>
      <w:pStyle w:val="DefinitionNumbering3"/>
      <w:lvlText w:val="(%5)"/>
      <w:lvlJc w:val="left"/>
      <w:pPr>
        <w:tabs>
          <w:tab w:val="num" w:pos="2880"/>
        </w:tabs>
        <w:ind w:left="2880" w:hanging="720"/>
      </w:pPr>
      <w:rPr>
        <w:caps w:val="0"/>
        <w:effect w:val="none"/>
      </w:rPr>
    </w:lvl>
    <w:lvl w:ilvl="5">
      <w:start w:val="1"/>
      <w:numFmt w:val="none"/>
      <w:pStyle w:val="DefinitionNumbering4"/>
      <w:lvlText w:val=""/>
      <w:lvlJc w:val="left"/>
      <w:pPr>
        <w:tabs>
          <w:tab w:val="num" w:pos="2880"/>
        </w:tabs>
        <w:ind w:left="2880" w:hanging="720"/>
      </w:pPr>
      <w:rPr>
        <w:caps w:val="0"/>
        <w:effect w:val="none"/>
      </w:rPr>
    </w:lvl>
    <w:lvl w:ilvl="6">
      <w:start w:val="1"/>
      <w:numFmt w:val="none"/>
      <w:pStyle w:val="DefinitionNumbering5"/>
      <w:lvlText w:val=""/>
      <w:lvlJc w:val="left"/>
      <w:pPr>
        <w:tabs>
          <w:tab w:val="num" w:pos="2880"/>
        </w:tabs>
        <w:ind w:left="2880" w:hanging="720"/>
      </w:pPr>
      <w:rPr>
        <w:caps w:val="0"/>
        <w:effect w:val="none"/>
      </w:rPr>
    </w:lvl>
    <w:lvl w:ilvl="7">
      <w:start w:val="1"/>
      <w:numFmt w:val="none"/>
      <w:pStyle w:val="DefinitionNumbering6"/>
      <w:lvlText w:val=""/>
      <w:lvlJc w:val="left"/>
      <w:pPr>
        <w:tabs>
          <w:tab w:val="num" w:pos="2880"/>
        </w:tabs>
        <w:ind w:left="2880" w:hanging="720"/>
      </w:pPr>
      <w:rPr>
        <w:caps w:val="0"/>
        <w:effect w:val="none"/>
      </w:rPr>
    </w:lvl>
    <w:lvl w:ilvl="8">
      <w:start w:val="1"/>
      <w:numFmt w:val="none"/>
      <w:pStyle w:val="DefinitionNumbering7"/>
      <w:lvlText w:val=""/>
      <w:lvlJc w:val="left"/>
      <w:pPr>
        <w:tabs>
          <w:tab w:val="num" w:pos="2880"/>
        </w:tabs>
        <w:ind w:left="2880" w:hanging="720"/>
      </w:pPr>
      <w:rPr>
        <w:caps w:val="0"/>
        <w:effect w:val="none"/>
      </w:rPr>
    </w:lvl>
  </w:abstractNum>
  <w:abstractNum w:abstractNumId="10" w15:restartNumberingAfterBreak="0">
    <w:nsid w:val="0795064A"/>
    <w:multiLevelType w:val="multilevel"/>
    <w:tmpl w:val="1332CCD4"/>
    <w:styleLink w:val="111111"/>
    <w:lvl w:ilvl="0">
      <w:start w:val="1"/>
      <w:numFmt w:val="decimal"/>
      <w:lvlText w:val="%1."/>
      <w:lvlJc w:val="left"/>
      <w:pPr>
        <w:tabs>
          <w:tab w:val="num" w:pos="720"/>
        </w:tabs>
        <w:ind w:left="720" w:hanging="720"/>
      </w:pPr>
      <w:rPr>
        <w:rFonts w:hint="default"/>
        <w:dstrike w:val="0"/>
        <w:snapToGrid/>
        <w:color w:val="auto"/>
        <w:w w:val="100"/>
        <w:kern w:val="28"/>
        <w:sz w:val="22"/>
        <w:szCs w:val="20"/>
        <w:u w:val="none"/>
        <w:effect w:val="none"/>
        <w:vertAlign w:val="baseline"/>
      </w:rPr>
    </w:lvl>
    <w:lvl w:ilvl="1">
      <w:start w:val="1"/>
      <w:numFmt w:val="decimal"/>
      <w:lvlText w:val="%1.%2"/>
      <w:lvlJc w:val="left"/>
      <w:pPr>
        <w:tabs>
          <w:tab w:val="num" w:pos="1440"/>
        </w:tabs>
        <w:ind w:left="1440" w:hanging="720"/>
      </w:pPr>
      <w:rPr>
        <w:rFonts w:hint="default"/>
        <w:effect w:val="none"/>
      </w:rPr>
    </w:lvl>
    <w:lvl w:ilvl="2">
      <w:start w:val="1"/>
      <w:numFmt w:val="decimal"/>
      <w:lvlText w:val="%1.%2.%3"/>
      <w:lvlJc w:val="left"/>
      <w:pPr>
        <w:tabs>
          <w:tab w:val="num" w:pos="2160"/>
        </w:tabs>
        <w:ind w:left="2160" w:hanging="720"/>
      </w:pPr>
      <w:rPr>
        <w:rFonts w:hint="default"/>
        <w:effect w:val="none"/>
      </w:rPr>
    </w:lvl>
    <w:lvl w:ilvl="3">
      <w:start w:val="1"/>
      <w:numFmt w:val="decimal"/>
      <w:lvlText w:val="%1.%2.%3.%4"/>
      <w:lvlJc w:val="left"/>
      <w:pPr>
        <w:tabs>
          <w:tab w:val="num" w:pos="2880"/>
        </w:tabs>
        <w:ind w:left="2880" w:hanging="720"/>
      </w:pPr>
      <w:rPr>
        <w:rFonts w:hint="default"/>
        <w:effect w:val="none"/>
      </w:rPr>
    </w:lvl>
    <w:lvl w:ilvl="4">
      <w:start w:val="1"/>
      <w:numFmt w:val="decimal"/>
      <w:lvlText w:val="%1.%2.%3.%4.%5"/>
      <w:lvlJc w:val="left"/>
      <w:pPr>
        <w:tabs>
          <w:tab w:val="num" w:pos="3600"/>
        </w:tabs>
        <w:ind w:left="3600" w:hanging="720"/>
      </w:pPr>
      <w:rPr>
        <w:rFonts w:hint="default"/>
        <w:effect w:val="none"/>
      </w:rPr>
    </w:lvl>
    <w:lvl w:ilvl="5">
      <w:start w:val="1"/>
      <w:numFmt w:val="decimal"/>
      <w:lvlText w:val="%1.%2.%3.%4.%5.%6"/>
      <w:lvlJc w:val="left"/>
      <w:pPr>
        <w:tabs>
          <w:tab w:val="num" w:pos="4320"/>
        </w:tabs>
        <w:ind w:left="4320" w:hanging="720"/>
      </w:pPr>
      <w:rPr>
        <w:rFonts w:hint="default"/>
        <w:effect w:val="none"/>
      </w:rPr>
    </w:lvl>
    <w:lvl w:ilvl="6">
      <w:start w:val="1"/>
      <w:numFmt w:val="decimal"/>
      <w:lvlText w:val="%1.%2.%3.%4.%5.%6.%7"/>
      <w:lvlJc w:val="left"/>
      <w:pPr>
        <w:tabs>
          <w:tab w:val="num" w:pos="5040"/>
        </w:tabs>
        <w:ind w:left="5040" w:hanging="720"/>
      </w:pPr>
      <w:rPr>
        <w:rFonts w:hint="default"/>
        <w:effect w:val="none"/>
      </w:rPr>
    </w:lvl>
    <w:lvl w:ilvl="7">
      <w:start w:val="1"/>
      <w:numFmt w:val="decimal"/>
      <w:lvlText w:val="%1.%2.%3.%4.%5.%6.%7.%8"/>
      <w:lvlJc w:val="left"/>
      <w:pPr>
        <w:tabs>
          <w:tab w:val="num" w:pos="5760"/>
        </w:tabs>
        <w:ind w:left="5760" w:hanging="720"/>
      </w:pPr>
      <w:rPr>
        <w:rFonts w:hint="default"/>
        <w:effect w:val="none"/>
      </w:rPr>
    </w:lvl>
    <w:lvl w:ilvl="8">
      <w:start w:val="1"/>
      <w:numFmt w:val="decimal"/>
      <w:lvlText w:val="%1.%2.%3.%4.%5.%6.%7.%8.%9"/>
      <w:lvlJc w:val="left"/>
      <w:pPr>
        <w:tabs>
          <w:tab w:val="num" w:pos="6480"/>
        </w:tabs>
        <w:ind w:left="6480" w:hanging="720"/>
      </w:pPr>
      <w:rPr>
        <w:rFonts w:hint="default"/>
        <w:effect w:val="none"/>
      </w:rPr>
    </w:lvl>
  </w:abstractNum>
  <w:abstractNum w:abstractNumId="11" w15:restartNumberingAfterBreak="0">
    <w:nsid w:val="16D81C55"/>
    <w:multiLevelType w:val="multilevel"/>
    <w:tmpl w:val="3F2AA4B6"/>
    <w:name w:val="Plato Schedule Numbering List3"/>
    <w:lvl w:ilvl="0">
      <w:start w:val="1"/>
      <w:numFmt w:val="lowerRoman"/>
      <w:lvlText w:val="(%1)"/>
      <w:lvlJc w:val="left"/>
      <w:pPr>
        <w:tabs>
          <w:tab w:val="left" w:pos="648"/>
        </w:tabs>
        <w:ind w:left="720"/>
      </w:pPr>
      <w:rPr>
        <w:rFonts w:ascii="Times New Roman" w:eastAsia="Times New Roman" w:hAnsi="Times New Roman"/>
        <w:strike w:val="0"/>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B2631C3"/>
    <w:multiLevelType w:val="multilevel"/>
    <w:tmpl w:val="4D34518C"/>
    <w:lvl w:ilvl="0">
      <w:start w:val="1"/>
      <w:numFmt w:val="lowerRoman"/>
      <w:lvlText w:val="(%1)"/>
      <w:lvlJc w:val="left"/>
      <w:pPr>
        <w:tabs>
          <w:tab w:val="num" w:pos="648"/>
        </w:tabs>
        <w:ind w:left="720" w:firstLine="0"/>
      </w:pPr>
      <w:rPr>
        <w:rFonts w:ascii="Times New Roman" w:eastAsia="Times New Roman" w:hAnsi="Times New Roman" w:hint="default"/>
        <w:strike w:val="0"/>
        <w:color w:val="000000"/>
        <w:spacing w:val="0"/>
        <w:w w:val="100"/>
        <w:sz w:val="22"/>
        <w:vertAlign w:val="baseli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3" w15:restartNumberingAfterBreak="0">
    <w:nsid w:val="28673DA6"/>
    <w:multiLevelType w:val="hybridMultilevel"/>
    <w:tmpl w:val="3C829948"/>
    <w:name w:val="Plato Schedule Numbering List32222"/>
    <w:lvl w:ilvl="0">
      <w:start w:val="1"/>
      <w:numFmt w:val="bullet"/>
      <w:lvlText w:val=""/>
      <w:lvlJc w:val="left"/>
      <w:pPr>
        <w:ind w:left="1080" w:hanging="360"/>
      </w:pPr>
      <w:rPr>
        <w:rFonts w:ascii="Symbol" w:hAnsi="Symbol" w:hint="default"/>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14" w15:restartNumberingAfterBreak="0">
    <w:nsid w:val="29793226"/>
    <w:multiLevelType w:val="multilevel"/>
    <w:tmpl w:val="6310DD5E"/>
    <w:name w:val="Bullet"/>
    <w:lvl w:ilvl="0">
      <w:start w:val="1"/>
      <w:numFmt w:val="bullet"/>
      <w:pStyle w:val="BulletL1"/>
      <w:lvlText w:val=""/>
      <w:lvlJc w:val="left"/>
      <w:pPr>
        <w:tabs>
          <w:tab w:val="num" w:pos="680"/>
        </w:tabs>
        <w:ind w:left="680" w:hanging="679"/>
      </w:pPr>
      <w:rPr>
        <w:rFonts w:ascii="Symbol" w:hAnsi="Symbol" w:cs="Times New Roman" w:hint="default"/>
        <w:b w:val="0"/>
        <w:i w:val="0"/>
        <w:caps w:val="0"/>
        <w:strike w:val="0"/>
        <w:dstrike w:val="0"/>
        <w:vanish w:val="0"/>
        <w:color w:val="auto"/>
        <w:sz w:val="20"/>
        <w:szCs w:val="20"/>
        <w:u w:val="none"/>
        <w:vertAlign w:val="baseline"/>
      </w:rPr>
    </w:lvl>
    <w:lvl w:ilvl="1">
      <w:start w:val="1"/>
      <w:numFmt w:val="bullet"/>
      <w:lvlRestart w:val="0"/>
      <w:pStyle w:val="BulletL2"/>
      <w:lvlText w:val=""/>
      <w:lvlJc w:val="left"/>
      <w:pPr>
        <w:tabs>
          <w:tab w:val="num" w:pos="1361"/>
        </w:tabs>
        <w:ind w:left="1361" w:hanging="681"/>
      </w:pPr>
      <w:rPr>
        <w:rFonts w:ascii="Symbol" w:hAnsi="Symbol" w:cs="Symbol" w:hint="default"/>
        <w:b w:val="0"/>
        <w:i w:val="0"/>
        <w:caps w:val="0"/>
        <w:strike w:val="0"/>
        <w:dstrike w:val="0"/>
        <w:vanish w:val="0"/>
        <w:color w:val="auto"/>
        <w:sz w:val="20"/>
        <w:szCs w:val="20"/>
        <w:u w:val="none"/>
        <w:vertAlign w:val="baseline"/>
      </w:rPr>
    </w:lvl>
    <w:lvl w:ilvl="2">
      <w:start w:val="1"/>
      <w:numFmt w:val="bullet"/>
      <w:lvlRestart w:val="0"/>
      <w:pStyle w:val="BulletL3"/>
      <w:lvlText w:val=""/>
      <w:lvlJc w:val="left"/>
      <w:pPr>
        <w:tabs>
          <w:tab w:val="num" w:pos="2041"/>
        </w:tabs>
        <w:ind w:left="2041" w:hanging="680"/>
      </w:pPr>
      <w:rPr>
        <w:rFonts w:ascii="Symbol" w:hAnsi="Symbol" w:cs="Symbol" w:hint="default"/>
        <w:b w:val="0"/>
        <w:i w:val="0"/>
        <w:caps w:val="0"/>
        <w:strike w:val="0"/>
        <w:dstrike w:val="0"/>
        <w:vanish w:val="0"/>
        <w:color w:val="auto"/>
        <w:sz w:val="20"/>
        <w:szCs w:val="20"/>
        <w:u w:val="none"/>
        <w:vertAlign w:val="baseline"/>
      </w:rPr>
    </w:lvl>
    <w:lvl w:ilvl="3">
      <w:start w:val="1"/>
      <w:numFmt w:val="bullet"/>
      <w:lvlRestart w:val="0"/>
      <w:pStyle w:val="BulletL4"/>
      <w:lvlText w:val=""/>
      <w:lvlJc w:val="left"/>
      <w:pPr>
        <w:tabs>
          <w:tab w:val="num" w:pos="2721"/>
        </w:tabs>
        <w:ind w:left="2721" w:hanging="680"/>
      </w:pPr>
      <w:rPr>
        <w:rFonts w:ascii="Symbol" w:hAnsi="Symbol" w:cs="Symbol" w:hint="default"/>
        <w:b w:val="0"/>
        <w:i w:val="0"/>
        <w:caps w:val="0"/>
        <w:strike w:val="0"/>
        <w:dstrike w:val="0"/>
        <w:vanish w:val="0"/>
        <w:color w:val="auto"/>
        <w:sz w:val="20"/>
        <w:szCs w:val="20"/>
        <w:u w:val="none"/>
        <w:vertAlign w:val="baseline"/>
      </w:rPr>
    </w:lvl>
    <w:lvl w:ilvl="4">
      <w:start w:val="1"/>
      <w:numFmt w:val="bullet"/>
      <w:lvlRestart w:val="0"/>
      <w:pStyle w:val="BulletL5"/>
      <w:lvlText w:val=""/>
      <w:lvlJc w:val="left"/>
      <w:pPr>
        <w:tabs>
          <w:tab w:val="num" w:pos="3402"/>
        </w:tabs>
        <w:ind w:left="3402" w:hanging="681"/>
      </w:pPr>
      <w:rPr>
        <w:rFonts w:ascii="Symbol" w:hAnsi="Symbol" w:cs="Symbol" w:hint="default"/>
        <w:b w:val="0"/>
        <w:i w:val="0"/>
        <w:caps w:val="0"/>
        <w:strike w:val="0"/>
        <w:dstrike w:val="0"/>
        <w:vanish w:val="0"/>
        <w:color w:val="auto"/>
        <w:sz w:val="20"/>
        <w:szCs w:val="20"/>
        <w:u w:val="none"/>
        <w:vertAlign w:val="baseline"/>
      </w:rPr>
    </w:lvl>
    <w:lvl w:ilvl="5">
      <w:start w:val="1"/>
      <w:numFmt w:val="bullet"/>
      <w:lvlRestart w:val="0"/>
      <w:pStyle w:val="BulletL6"/>
      <w:lvlText w:val=""/>
      <w:lvlJc w:val="left"/>
      <w:pPr>
        <w:tabs>
          <w:tab w:val="num" w:pos="4082"/>
        </w:tabs>
        <w:ind w:left="4082" w:hanging="680"/>
      </w:pPr>
      <w:rPr>
        <w:rFonts w:ascii="Symbol" w:hAnsi="Symbol" w:cs="Symbol" w:hint="default"/>
        <w:b w:val="0"/>
        <w:i w:val="0"/>
        <w:caps w:val="0"/>
        <w:strike w:val="0"/>
        <w:dstrike w:val="0"/>
        <w:vanish w:val="0"/>
        <w:color w:val="auto"/>
        <w:sz w:val="20"/>
        <w:szCs w:val="20"/>
        <w:u w:val="none"/>
        <w:vertAlign w:val="baseline"/>
      </w:rPr>
    </w:lvl>
    <w:lvl w:ilvl="6">
      <w:start w:val="1"/>
      <w:numFmt w:val="bullet"/>
      <w:lvlRestart w:val="0"/>
      <w:pStyle w:val="BulletL7"/>
      <w:lvlText w:val=""/>
      <w:lvlJc w:val="left"/>
      <w:pPr>
        <w:tabs>
          <w:tab w:val="num" w:pos="4762"/>
        </w:tabs>
        <w:ind w:left="4762" w:hanging="680"/>
      </w:pPr>
      <w:rPr>
        <w:rFonts w:ascii="Symbol" w:hAnsi="Symbol" w:cs="Symbol" w:hint="default"/>
        <w:b w:val="0"/>
        <w:i w:val="0"/>
        <w:caps w:val="0"/>
        <w:strike w:val="0"/>
        <w:dstrike w:val="0"/>
        <w:vanish w:val="0"/>
        <w:color w:val="auto"/>
        <w:sz w:val="20"/>
        <w:szCs w:val="20"/>
        <w:u w:val="none"/>
        <w:vertAlign w:val="baseline"/>
      </w:rPr>
    </w:lvl>
    <w:lvl w:ilvl="7">
      <w:start w:val="1"/>
      <w:numFmt w:val="none"/>
      <w:lvlRestart w:val="0"/>
      <w:pStyle w:val="BulletL8"/>
      <w:suff w:val="nothing"/>
      <w:lvlText w:val=""/>
      <w:lvlJc w:val="left"/>
      <w:pPr>
        <w:ind w:left="1" w:firstLine="0"/>
      </w:pPr>
      <w:rPr>
        <w:rFonts w:ascii="Symbol" w:hAnsi="Symbol" w:hint="default"/>
        <w:b w:val="0"/>
        <w:i w:val="0"/>
        <w:caps w:val="0"/>
        <w:strike w:val="0"/>
        <w:dstrike w:val="0"/>
        <w:vanish w:val="0"/>
        <w:color w:val="auto"/>
        <w:sz w:val="22"/>
        <w:u w:val="none"/>
        <w:vertAlign w:val="baseline"/>
      </w:rPr>
    </w:lvl>
    <w:lvl w:ilvl="8">
      <w:start w:val="1"/>
      <w:numFmt w:val="none"/>
      <w:lvlRestart w:val="0"/>
      <w:pStyle w:val="BulletL9"/>
      <w:suff w:val="nothing"/>
      <w:lvlText w:val=""/>
      <w:lvlJc w:val="left"/>
      <w:pPr>
        <w:ind w:left="1" w:firstLine="0"/>
      </w:pPr>
      <w:rPr>
        <w:rFonts w:ascii="Symbol" w:hAnsi="Symbol" w:hint="default"/>
        <w:b w:val="0"/>
        <w:i w:val="0"/>
        <w:caps w:val="0"/>
        <w:strike w:val="0"/>
        <w:dstrike w:val="0"/>
        <w:vanish w:val="0"/>
        <w:color w:val="auto"/>
        <w:sz w:val="22"/>
        <w:u w:val="none"/>
        <w:vertAlign w:val="baseline"/>
      </w:rPr>
    </w:lvl>
  </w:abstractNum>
  <w:abstractNum w:abstractNumId="15" w15:restartNumberingAfterBreak="0">
    <w:nsid w:val="2AA960C8"/>
    <w:multiLevelType w:val="multilevel"/>
    <w:tmpl w:val="41F2686C"/>
    <w:name w:val="Plato Schedule Numbering List"/>
    <w:lvl w:ilvl="0">
      <w:start w:val="1"/>
      <w:numFmt w:val="decimal"/>
      <w:pStyle w:val="ScheduleL1"/>
      <w:lvlText w:val="%1."/>
      <w:lvlJc w:val="left"/>
      <w:pPr>
        <w:tabs>
          <w:tab w:val="num" w:pos="720"/>
        </w:tabs>
        <w:ind w:left="720" w:hanging="720"/>
      </w:pPr>
      <w:rPr>
        <w:rFonts w:hint="default"/>
        <w:caps w:val="0"/>
        <w:effect w:val="none"/>
      </w:rPr>
    </w:lvl>
    <w:lvl w:ilvl="1">
      <w:start w:val="1"/>
      <w:numFmt w:val="lowerLetter"/>
      <w:pStyle w:val="ScheduleL2"/>
      <w:lvlText w:val="(%2)"/>
      <w:lvlJc w:val="left"/>
      <w:pPr>
        <w:tabs>
          <w:tab w:val="num" w:pos="1440"/>
        </w:tabs>
        <w:ind w:left="1440" w:hanging="720"/>
      </w:pPr>
      <w:rPr>
        <w:rFonts w:hint="default"/>
        <w:caps w:val="0"/>
        <w:effect w:val="none"/>
      </w:rPr>
    </w:lvl>
    <w:lvl w:ilvl="2">
      <w:start w:val="1"/>
      <w:numFmt w:val="lowerRoman"/>
      <w:pStyle w:val="ScheduleL3"/>
      <w:lvlText w:val="(%3)"/>
      <w:lvlJc w:val="left"/>
      <w:pPr>
        <w:tabs>
          <w:tab w:val="num" w:pos="2160"/>
        </w:tabs>
        <w:ind w:left="2160" w:hanging="720"/>
      </w:pPr>
      <w:rPr>
        <w:rFonts w:hint="default"/>
        <w:caps w:val="0"/>
        <w:effect w:val="none"/>
      </w:rPr>
    </w:lvl>
    <w:lvl w:ilvl="3">
      <w:start w:val="1"/>
      <w:numFmt w:val="upperLetter"/>
      <w:pStyle w:val="ScheduleL4"/>
      <w:lvlText w:val="(%4)"/>
      <w:lvlJc w:val="left"/>
      <w:pPr>
        <w:tabs>
          <w:tab w:val="num" w:pos="2880"/>
        </w:tabs>
        <w:ind w:left="2880" w:hanging="720"/>
      </w:pPr>
      <w:rPr>
        <w:rFonts w:hint="default"/>
        <w:caps w:val="0"/>
        <w:effect w:val="none"/>
      </w:rPr>
    </w:lvl>
    <w:lvl w:ilvl="4">
      <w:start w:val="1"/>
      <w:numFmt w:val="decimal"/>
      <w:pStyle w:val="ScheduleL5"/>
      <w:lvlText w:val="(%5)"/>
      <w:lvlJc w:val="left"/>
      <w:pPr>
        <w:tabs>
          <w:tab w:val="num" w:pos="3600"/>
        </w:tabs>
        <w:ind w:left="3600" w:hanging="720"/>
      </w:pPr>
      <w:rPr>
        <w:rFonts w:hint="default"/>
        <w:caps w:val="0"/>
        <w:effect w:val="none"/>
      </w:rPr>
    </w:lvl>
    <w:lvl w:ilvl="5">
      <w:start w:val="1"/>
      <w:numFmt w:val="lowerLetter"/>
      <w:pStyle w:val="ScheduleL6"/>
      <w:lvlText w:val="(%6)"/>
      <w:lvlJc w:val="left"/>
      <w:pPr>
        <w:tabs>
          <w:tab w:val="num" w:pos="4320"/>
        </w:tabs>
        <w:ind w:left="4320" w:hanging="720"/>
      </w:pPr>
      <w:rPr>
        <w:rFonts w:hint="default"/>
        <w:caps w:val="0"/>
        <w:effect w:val="none"/>
      </w:rPr>
    </w:lvl>
    <w:lvl w:ilvl="6">
      <w:start w:val="1"/>
      <w:numFmt w:val="lowerRoman"/>
      <w:pStyle w:val="ScheduleL7"/>
      <w:lvlText w:val="(%7)"/>
      <w:lvlJc w:val="left"/>
      <w:pPr>
        <w:tabs>
          <w:tab w:val="num" w:pos="5040"/>
        </w:tabs>
        <w:ind w:left="5040" w:hanging="720"/>
      </w:pPr>
      <w:rPr>
        <w:rFonts w:hint="default"/>
        <w:caps w:val="0"/>
        <w:effect w:val="none"/>
      </w:rPr>
    </w:lvl>
    <w:lvl w:ilvl="7">
      <w:start w:val="1"/>
      <w:numFmt w:val="upperLetter"/>
      <w:pStyle w:val="ScheduleL8"/>
      <w:lvlText w:val="(%8)"/>
      <w:lvlJc w:val="left"/>
      <w:pPr>
        <w:tabs>
          <w:tab w:val="num" w:pos="5760"/>
        </w:tabs>
        <w:ind w:left="5760" w:hanging="720"/>
      </w:pPr>
      <w:rPr>
        <w:rFonts w:hint="default"/>
        <w:caps w:val="0"/>
        <w:effect w:val="none"/>
      </w:rPr>
    </w:lvl>
    <w:lvl w:ilvl="8">
      <w:start w:val="1"/>
      <w:numFmt w:val="upperRoman"/>
      <w:pStyle w:val="ScheduleL9"/>
      <w:lvlText w:val="(%9)"/>
      <w:lvlJc w:val="left"/>
      <w:pPr>
        <w:tabs>
          <w:tab w:val="num" w:pos="6480"/>
        </w:tabs>
        <w:ind w:left="6480" w:hanging="720"/>
      </w:pPr>
      <w:rPr>
        <w:rFonts w:hint="default"/>
        <w:caps w:val="0"/>
        <w:effect w:val="none"/>
      </w:rPr>
    </w:lvl>
  </w:abstractNum>
  <w:abstractNum w:abstractNumId="16" w15:restartNumberingAfterBreak="0">
    <w:nsid w:val="2EE67B6F"/>
    <w:multiLevelType w:val="multilevel"/>
    <w:tmpl w:val="9384A5F2"/>
    <w:name w:val="Appendicies Heading List"/>
    <w:lvl w:ilvl="0">
      <w:start w:val="1"/>
      <w:numFmt w:val="decimal"/>
      <w:pStyle w:val="AppHead"/>
      <w:suff w:val="space"/>
      <w:lvlText w:val="APPENDIX %1: "/>
      <w:lvlJc w:val="left"/>
      <w:pPr>
        <w:tabs>
          <w:tab w:val="num" w:pos="0"/>
        </w:tabs>
        <w:ind w:left="0" w:firstLine="0"/>
      </w:pPr>
      <w:rPr>
        <w:caps w:val="0"/>
        <w:effect w:val="none"/>
      </w:rPr>
    </w:lvl>
    <w:lvl w:ilvl="1">
      <w:start w:val="1"/>
      <w:numFmt w:val="decimal"/>
      <w:pStyle w:val="AppPart"/>
      <w:suff w:val="space"/>
      <w:lvlText w:val="Part %2: "/>
      <w:lvlJc w:val="left"/>
      <w:pPr>
        <w:tabs>
          <w:tab w:val="num" w:pos="0"/>
        </w:tabs>
        <w:ind w:left="0" w:firstLine="0"/>
      </w:pPr>
      <w:rPr>
        <w:caps w:val="0"/>
        <w:effect w:val="none"/>
      </w:rPr>
    </w:lvl>
    <w:lvl w:ilvl="2">
      <w:start w:val="1"/>
      <w:numFmt w:val="none"/>
      <w:lvlRestart w:val="0"/>
      <w:lvlText w:val=""/>
      <w:lvlJc w:val="left"/>
      <w:pPr>
        <w:tabs>
          <w:tab w:val="num" w:pos="0"/>
        </w:tabs>
        <w:ind w:left="0" w:firstLine="0"/>
      </w:pPr>
      <w:rPr>
        <w:caps w:val="0"/>
        <w:effect w:val="none"/>
      </w:rPr>
    </w:lvl>
    <w:lvl w:ilvl="3">
      <w:start w:val="1"/>
      <w:numFmt w:val="none"/>
      <w:lvlRestart w:val="0"/>
      <w:lvlText w:val=""/>
      <w:lvlJc w:val="left"/>
      <w:pPr>
        <w:tabs>
          <w:tab w:val="num" w:pos="0"/>
        </w:tabs>
        <w:ind w:left="0" w:firstLine="0"/>
      </w:pPr>
      <w:rPr>
        <w:caps w:val="0"/>
        <w:effect w:val="none"/>
      </w:rPr>
    </w:lvl>
    <w:lvl w:ilvl="4">
      <w:start w:val="1"/>
      <w:numFmt w:val="none"/>
      <w:lvlRestart w:val="0"/>
      <w:lvlText w:val=""/>
      <w:lvlJc w:val="left"/>
      <w:pPr>
        <w:tabs>
          <w:tab w:val="num" w:pos="0"/>
        </w:tabs>
        <w:ind w:left="0" w:firstLine="0"/>
      </w:pPr>
      <w:rPr>
        <w:caps w:val="0"/>
        <w:effect w:val="none"/>
      </w:rPr>
    </w:lvl>
    <w:lvl w:ilvl="5">
      <w:start w:val="1"/>
      <w:numFmt w:val="none"/>
      <w:lvlRestart w:val="0"/>
      <w:lvlText w:val=""/>
      <w:lvlJc w:val="left"/>
      <w:pPr>
        <w:tabs>
          <w:tab w:val="num" w:pos="0"/>
        </w:tabs>
        <w:ind w:left="0" w:firstLine="0"/>
      </w:pPr>
      <w:rPr>
        <w:caps w:val="0"/>
        <w:effect w:val="none"/>
      </w:rPr>
    </w:lvl>
    <w:lvl w:ilvl="6">
      <w:start w:val="1"/>
      <w:numFmt w:val="none"/>
      <w:lvlRestart w:val="0"/>
      <w:lvlText w:val=""/>
      <w:lvlJc w:val="left"/>
      <w:pPr>
        <w:tabs>
          <w:tab w:val="num" w:pos="0"/>
        </w:tabs>
        <w:ind w:left="0" w:firstLine="0"/>
      </w:pPr>
      <w:rPr>
        <w:caps w:val="0"/>
        <w:effect w:val="none"/>
      </w:rPr>
    </w:lvl>
    <w:lvl w:ilvl="7">
      <w:start w:val="1"/>
      <w:numFmt w:val="none"/>
      <w:lvlRestart w:val="0"/>
      <w:lvlText w:val=""/>
      <w:lvlJc w:val="left"/>
      <w:pPr>
        <w:tabs>
          <w:tab w:val="num" w:pos="0"/>
        </w:tabs>
        <w:ind w:left="0" w:firstLine="0"/>
      </w:pPr>
      <w:rPr>
        <w:caps w:val="0"/>
        <w:effect w:val="none"/>
      </w:rPr>
    </w:lvl>
    <w:lvl w:ilvl="8">
      <w:start w:val="1"/>
      <w:numFmt w:val="none"/>
      <w:lvlRestart w:val="0"/>
      <w:lvlText w:val=""/>
      <w:lvlJc w:val="left"/>
      <w:pPr>
        <w:tabs>
          <w:tab w:val="num" w:pos="0"/>
        </w:tabs>
        <w:ind w:left="0" w:firstLine="0"/>
      </w:pPr>
      <w:rPr>
        <w:caps w:val="0"/>
        <w:effect w:val="none"/>
      </w:rPr>
    </w:lvl>
  </w:abstractNum>
  <w:abstractNum w:abstractNumId="17" w15:restartNumberingAfterBreak="0">
    <w:nsid w:val="33464C27"/>
    <w:multiLevelType w:val="hybridMultilevel"/>
    <w:tmpl w:val="ADF879D8"/>
    <w:name w:val="Plato Schedule Numbering List2"/>
    <w:lvl w:ilvl="0">
      <w:start w:val="1"/>
      <w:numFmt w:val="lowerRoman"/>
      <w:lvlText w:val="(%1)"/>
      <w:lvlJc w:val="righ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8" w15:restartNumberingAfterBreak="0">
    <w:nsid w:val="34C7790A"/>
    <w:multiLevelType w:val="multilevel"/>
    <w:tmpl w:val="12665B50"/>
    <w:name w:val="Plato Schedule Numbering List322"/>
    <w:lvl w:ilvl="0">
      <w:start w:val="1"/>
      <w:numFmt w:val="lowerRoman"/>
      <w:lvlText w:val="(%1)"/>
      <w:lvlJc w:val="left"/>
      <w:pPr>
        <w:tabs>
          <w:tab w:val="num" w:pos="648"/>
        </w:tabs>
        <w:ind w:left="720" w:firstLine="0"/>
      </w:pPr>
      <w:rPr>
        <w:rFonts w:ascii="Times New Roman" w:eastAsia="Times New Roman" w:hAnsi="Times New Roman" w:hint="default"/>
        <w:strike w:val="0"/>
        <w:color w:val="000000"/>
        <w:spacing w:val="0"/>
        <w:w w:val="100"/>
        <w:sz w:val="22"/>
        <w:vertAlign w:val="baseli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9" w15:restartNumberingAfterBreak="0">
    <w:nsid w:val="45A91E44"/>
    <w:multiLevelType w:val="multilevel"/>
    <w:tmpl w:val="4D34518C"/>
    <w:lvl w:ilvl="0">
      <w:start w:val="1"/>
      <w:numFmt w:val="lowerRoman"/>
      <w:lvlText w:val="(%1)"/>
      <w:lvlJc w:val="left"/>
      <w:pPr>
        <w:tabs>
          <w:tab w:val="num" w:pos="648"/>
        </w:tabs>
        <w:ind w:left="720" w:firstLine="0"/>
      </w:pPr>
      <w:rPr>
        <w:rFonts w:ascii="Times New Roman" w:eastAsia="Times New Roman" w:hAnsi="Times New Roman" w:hint="default"/>
        <w:strike w:val="0"/>
        <w:color w:val="000000"/>
        <w:spacing w:val="0"/>
        <w:w w:val="100"/>
        <w:sz w:val="22"/>
        <w:vertAlign w:val="baseli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0" w15:restartNumberingAfterBreak="0">
    <w:nsid w:val="4A376A8D"/>
    <w:multiLevelType w:val="multilevel"/>
    <w:tmpl w:val="2E4470CC"/>
    <w:name w:val="SchHead Numbering List"/>
    <w:lvl w:ilvl="0">
      <w:start w:val="1"/>
      <w:numFmt w:val="decimal"/>
      <w:pStyle w:val="SchHead"/>
      <w:suff w:val="space"/>
      <w:lvlText w:val="SCHEDULE %1: "/>
      <w:lvlJc w:val="left"/>
      <w:pPr>
        <w:tabs>
          <w:tab w:val="num" w:pos="0"/>
        </w:tabs>
        <w:ind w:left="0" w:firstLine="0"/>
      </w:pPr>
      <w:rPr>
        <w:caps w:val="0"/>
        <w:effect w:val="none"/>
      </w:rPr>
    </w:lvl>
    <w:lvl w:ilvl="1">
      <w:start w:val="1"/>
      <w:numFmt w:val="decimal"/>
      <w:pStyle w:val="SchPart"/>
      <w:suff w:val="space"/>
      <w:lvlText w:val="Part %2: "/>
      <w:lvlJc w:val="left"/>
      <w:pPr>
        <w:tabs>
          <w:tab w:val="num" w:pos="2520"/>
        </w:tabs>
        <w:ind w:left="2520" w:firstLine="0"/>
      </w:pPr>
      <w:rPr>
        <w:caps w:val="0"/>
        <w:effect w:val="none"/>
      </w:rPr>
    </w:lvl>
    <w:lvl w:ilvl="2">
      <w:start w:val="1"/>
      <w:numFmt w:val="decimal"/>
      <w:pStyle w:val="SchSection"/>
      <w:suff w:val="space"/>
      <w:lvlText w:val="Section %3: "/>
      <w:lvlJc w:val="left"/>
      <w:pPr>
        <w:tabs>
          <w:tab w:val="num" w:pos="0"/>
        </w:tabs>
        <w:ind w:left="0" w:firstLine="0"/>
      </w:pPr>
      <w:rPr>
        <w:caps w:val="0"/>
        <w:effect w:val="none"/>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1200365"/>
    <w:multiLevelType w:val="multilevel"/>
    <w:tmpl w:val="97E472D8"/>
    <w:name w:val="Plato Heading List"/>
    <w:lvl w:ilvl="0">
      <w:start w:val="1"/>
      <w:numFmt w:val="decimal"/>
      <w:pStyle w:val="Heading1"/>
      <w:lvlText w:val="%1."/>
      <w:lvlJc w:val="left"/>
      <w:pPr>
        <w:tabs>
          <w:tab w:val="num" w:pos="720"/>
        </w:tabs>
        <w:ind w:left="720" w:hanging="720"/>
      </w:pPr>
      <w:rPr>
        <w:caps w:val="0"/>
        <w:effect w:val="none"/>
      </w:rPr>
    </w:lvl>
    <w:lvl w:ilvl="1">
      <w:start w:val="1"/>
      <w:numFmt w:val="decimal"/>
      <w:pStyle w:val="Heading2"/>
      <w:lvlText w:val="%1.%2"/>
      <w:lvlJc w:val="left"/>
      <w:pPr>
        <w:tabs>
          <w:tab w:val="num" w:pos="720"/>
        </w:tabs>
        <w:ind w:left="720" w:hanging="720"/>
      </w:pPr>
      <w:rPr>
        <w:caps w:val="0"/>
        <w:effect w:val="none"/>
      </w:rPr>
    </w:lvl>
    <w:lvl w:ilvl="2">
      <w:start w:val="1"/>
      <w:numFmt w:val="lowerLetter"/>
      <w:pStyle w:val="Heading3"/>
      <w:lvlText w:val="(%3)"/>
      <w:lvlJc w:val="left"/>
      <w:pPr>
        <w:tabs>
          <w:tab w:val="num" w:pos="1440"/>
        </w:tabs>
        <w:ind w:left="1440" w:hanging="720"/>
      </w:pPr>
      <w:rPr>
        <w:caps w:val="0"/>
        <w:effect w:val="none"/>
      </w:rPr>
    </w:lvl>
    <w:lvl w:ilvl="3">
      <w:start w:val="1"/>
      <w:numFmt w:val="lowerRoman"/>
      <w:pStyle w:val="Heading4"/>
      <w:lvlText w:val="(%4)"/>
      <w:lvlJc w:val="left"/>
      <w:pPr>
        <w:tabs>
          <w:tab w:val="num" w:pos="2160"/>
        </w:tabs>
        <w:ind w:left="2160" w:hanging="720"/>
      </w:pPr>
      <w:rPr>
        <w:caps w:val="0"/>
        <w:effect w:val="none"/>
      </w:rPr>
    </w:lvl>
    <w:lvl w:ilvl="4">
      <w:start w:val="1"/>
      <w:numFmt w:val="upperLetter"/>
      <w:pStyle w:val="Heading5"/>
      <w:lvlText w:val="(%5)"/>
      <w:lvlJc w:val="left"/>
      <w:pPr>
        <w:tabs>
          <w:tab w:val="num" w:pos="2880"/>
        </w:tabs>
        <w:ind w:left="2880" w:hanging="720"/>
      </w:pPr>
      <w:rPr>
        <w:caps w:val="0"/>
        <w:effect w:val="none"/>
      </w:rPr>
    </w:lvl>
    <w:lvl w:ilvl="5">
      <w:start w:val="1"/>
      <w:numFmt w:val="decimal"/>
      <w:pStyle w:val="Heading6"/>
      <w:lvlText w:val="(%6)"/>
      <w:lvlJc w:val="left"/>
      <w:pPr>
        <w:tabs>
          <w:tab w:val="num" w:pos="3600"/>
        </w:tabs>
        <w:ind w:left="3600" w:hanging="720"/>
      </w:pPr>
      <w:rPr>
        <w:caps w:val="0"/>
        <w:effect w:val="none"/>
      </w:rPr>
    </w:lvl>
    <w:lvl w:ilvl="6">
      <w:start w:val="1"/>
      <w:numFmt w:val="lowerLetter"/>
      <w:pStyle w:val="Heading7"/>
      <w:lvlText w:val="(%7)"/>
      <w:lvlJc w:val="left"/>
      <w:pPr>
        <w:tabs>
          <w:tab w:val="num" w:pos="4320"/>
        </w:tabs>
        <w:ind w:left="4320" w:hanging="720"/>
      </w:pPr>
      <w:rPr>
        <w:caps w:val="0"/>
        <w:effect w:val="none"/>
      </w:rPr>
    </w:lvl>
    <w:lvl w:ilvl="7">
      <w:start w:val="1"/>
      <w:numFmt w:val="lowerRoman"/>
      <w:pStyle w:val="Heading8"/>
      <w:lvlText w:val="(%8)"/>
      <w:lvlJc w:val="left"/>
      <w:pPr>
        <w:tabs>
          <w:tab w:val="num" w:pos="5040"/>
        </w:tabs>
        <w:ind w:left="5040" w:hanging="720"/>
      </w:pPr>
      <w:rPr>
        <w:caps w:val="0"/>
        <w:effect w:val="none"/>
      </w:rPr>
    </w:lvl>
    <w:lvl w:ilvl="8">
      <w:start w:val="1"/>
      <w:numFmt w:val="upperLetter"/>
      <w:pStyle w:val="Heading9"/>
      <w:lvlText w:val="(%9)"/>
      <w:lvlJc w:val="left"/>
      <w:pPr>
        <w:tabs>
          <w:tab w:val="num" w:pos="5760"/>
        </w:tabs>
        <w:ind w:left="5760" w:hanging="720"/>
      </w:pPr>
      <w:rPr>
        <w:caps w:val="0"/>
        <w:effect w:val="none"/>
      </w:rPr>
    </w:lvl>
  </w:abstractNum>
  <w:abstractNum w:abstractNumId="22" w15:restartNumberingAfterBreak="0">
    <w:nsid w:val="51642E85"/>
    <w:multiLevelType w:val="multilevel"/>
    <w:tmpl w:val="4D34518C"/>
    <w:name w:val="Plato Schedule Numbering List322222"/>
    <w:lvl w:ilvl="0">
      <w:start w:val="1"/>
      <w:numFmt w:val="lowerRoman"/>
      <w:lvlText w:val="(%1)"/>
      <w:lvlJc w:val="left"/>
      <w:pPr>
        <w:tabs>
          <w:tab w:val="num" w:pos="648"/>
        </w:tabs>
        <w:ind w:left="720" w:firstLine="0"/>
      </w:pPr>
      <w:rPr>
        <w:rFonts w:ascii="Times New Roman" w:eastAsia="Times New Roman" w:hAnsi="Times New Roman" w:hint="default"/>
        <w:strike w:val="0"/>
        <w:color w:val="000000"/>
        <w:spacing w:val="0"/>
        <w:w w:val="100"/>
        <w:sz w:val="22"/>
        <w:vertAlign w:val="baseli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3" w15:restartNumberingAfterBreak="0">
    <w:nsid w:val="52F5562E"/>
    <w:multiLevelType w:val="multilevel"/>
    <w:tmpl w:val="A31C10FE"/>
    <w:name w:val="oc_Num_4th"/>
    <w:lvl w:ilvl="0">
      <w:start w:val="1"/>
      <w:numFmt w:val="none"/>
      <w:pStyle w:val="ocNum4th1"/>
      <w:suff w:val="nothing"/>
      <w:lvlText w:val=""/>
      <w:lvlJc w:val="left"/>
      <w:pPr>
        <w:ind w:left="0" w:firstLine="0"/>
      </w:pPr>
      <w:rPr>
        <w:rFonts w:ascii="Times New Roman" w:hAnsi="Times New Roman" w:cs="Times New Roman" w:hint="default"/>
        <w:b w:val="0"/>
        <w:i w:val="0"/>
        <w:caps w:val="0"/>
        <w:strike w:val="0"/>
        <w:dstrike w:val="0"/>
        <w:outline w:val="0"/>
        <w:shadow w:val="0"/>
        <w:emboss w:val="0"/>
        <w:imprint w:val="0"/>
        <w:vanish w:val="0"/>
        <w:color w:val="auto"/>
        <w:sz w:val="18"/>
        <w:u w:val="none"/>
        <w:effect w:val="none"/>
        <w:vertAlign w:val="baseline"/>
      </w:rPr>
    </w:lvl>
    <w:lvl w:ilvl="1">
      <w:start w:val="1"/>
      <w:numFmt w:val="decimal"/>
      <w:pStyle w:val="ocNum4th2"/>
      <w:lvlText w:val="%2."/>
      <w:lvlJc w:val="left"/>
      <w:pPr>
        <w:tabs>
          <w:tab w:val="num" w:pos="680"/>
        </w:tabs>
        <w:ind w:left="680" w:hanging="680"/>
      </w:pPr>
      <w:rPr>
        <w:rFonts w:ascii="Times New Roman" w:hAnsi="Times New Roman" w:cs="Times New Roman" w:hint="default"/>
        <w:b w:val="0"/>
        <w:i w:val="0"/>
        <w:caps w:val="0"/>
        <w:strike w:val="0"/>
        <w:dstrike w:val="0"/>
        <w:outline w:val="0"/>
        <w:shadow w:val="0"/>
        <w:emboss w:val="0"/>
        <w:imprint w:val="0"/>
        <w:vanish w:val="0"/>
        <w:color w:val="auto"/>
        <w:sz w:val="20"/>
        <w:u w:val="none"/>
        <w:effect w:val="none"/>
        <w:vertAlign w:val="baseline"/>
      </w:rPr>
    </w:lvl>
    <w:lvl w:ilvl="2">
      <w:start w:val="1"/>
      <w:numFmt w:val="decimal"/>
      <w:pStyle w:val="ocNum4th3"/>
      <w:isLgl/>
      <w:lvlText w:val="%2.%3"/>
      <w:lvlJc w:val="left"/>
      <w:pPr>
        <w:tabs>
          <w:tab w:val="num" w:pos="680"/>
        </w:tabs>
        <w:ind w:left="680" w:hanging="680"/>
      </w:pPr>
      <w:rPr>
        <w:rFonts w:ascii="Times New Roman" w:hAnsi="Times New Roman" w:cs="Times New Roman" w:hint="default"/>
        <w:b w:val="0"/>
        <w:i w:val="0"/>
        <w:caps w:val="0"/>
        <w:strike w:val="0"/>
        <w:dstrike w:val="0"/>
        <w:outline w:val="0"/>
        <w:shadow w:val="0"/>
        <w:emboss w:val="0"/>
        <w:imprint w:val="0"/>
        <w:vanish w:val="0"/>
        <w:color w:val="auto"/>
        <w:sz w:val="18"/>
        <w:u w:val="none"/>
        <w:effect w:val="none"/>
        <w:vertAlign w:val="baseline"/>
      </w:rPr>
    </w:lvl>
    <w:lvl w:ilvl="3">
      <w:start w:val="1"/>
      <w:numFmt w:val="none"/>
      <w:pStyle w:val="ocNum4th4"/>
      <w:suff w:val="nothing"/>
      <w:lvlText w:val=""/>
      <w:lvlJc w:val="left"/>
      <w:pPr>
        <w:ind w:left="680" w:firstLine="0"/>
      </w:pPr>
      <w:rPr>
        <w:rFonts w:ascii="Times New Roman" w:hAnsi="Times New Roman" w:cs="Times New Roman" w:hint="default"/>
        <w:b w:val="0"/>
        <w:i w:val="0"/>
        <w:caps w:val="0"/>
        <w:strike w:val="0"/>
        <w:dstrike w:val="0"/>
        <w:outline w:val="0"/>
        <w:shadow w:val="0"/>
        <w:emboss w:val="0"/>
        <w:imprint w:val="0"/>
        <w:vanish w:val="0"/>
        <w:color w:val="auto"/>
        <w:sz w:val="18"/>
        <w:u w:val="none"/>
        <w:effect w:val="none"/>
        <w:vertAlign w:val="baseline"/>
      </w:rPr>
    </w:lvl>
    <w:lvl w:ilvl="4">
      <w:start w:val="1"/>
      <w:numFmt w:val="lowerLetter"/>
      <w:pStyle w:val="ocNum4th5"/>
      <w:lvlText w:val="(%5)"/>
      <w:lvlJc w:val="left"/>
      <w:pPr>
        <w:tabs>
          <w:tab w:val="num" w:pos="1361"/>
        </w:tabs>
        <w:ind w:left="1361" w:hanging="681"/>
      </w:pPr>
      <w:rPr>
        <w:rFonts w:ascii="Times New Roman" w:hAnsi="Times New Roman" w:cs="Times New Roman" w:hint="default"/>
        <w:b w:val="0"/>
        <w:i w:val="0"/>
        <w:caps w:val="0"/>
        <w:strike w:val="0"/>
        <w:dstrike w:val="0"/>
        <w:outline w:val="0"/>
        <w:shadow w:val="0"/>
        <w:emboss w:val="0"/>
        <w:imprint w:val="0"/>
        <w:vanish w:val="0"/>
        <w:color w:val="auto"/>
        <w:sz w:val="18"/>
        <w:u w:val="none"/>
        <w:effect w:val="none"/>
        <w:vertAlign w:val="baseline"/>
      </w:rPr>
    </w:lvl>
    <w:lvl w:ilvl="5">
      <w:start w:val="1"/>
      <w:numFmt w:val="lowerRoman"/>
      <w:pStyle w:val="ocNum4th6"/>
      <w:lvlText w:val="(%6)"/>
      <w:lvlJc w:val="left"/>
      <w:pPr>
        <w:tabs>
          <w:tab w:val="num" w:pos="2041"/>
        </w:tabs>
        <w:ind w:left="2041" w:hanging="680"/>
      </w:pPr>
      <w:rPr>
        <w:rFonts w:ascii="Times New Roman" w:hAnsi="Times New Roman" w:cs="Times New Roman" w:hint="default"/>
        <w:b w:val="0"/>
        <w:i w:val="0"/>
        <w:caps w:val="0"/>
        <w:strike w:val="0"/>
        <w:dstrike w:val="0"/>
        <w:outline w:val="0"/>
        <w:shadow w:val="0"/>
        <w:emboss w:val="0"/>
        <w:imprint w:val="0"/>
        <w:vanish w:val="0"/>
        <w:color w:val="auto"/>
        <w:sz w:val="18"/>
        <w:u w:val="none"/>
        <w:effect w:val="none"/>
        <w:vertAlign w:val="baseline"/>
      </w:rPr>
    </w:lvl>
    <w:lvl w:ilvl="6">
      <w:start w:val="1"/>
      <w:numFmt w:val="upperLetter"/>
      <w:pStyle w:val="ocNum4th7"/>
      <w:lvlText w:val="(%7)"/>
      <w:lvlJc w:val="left"/>
      <w:pPr>
        <w:tabs>
          <w:tab w:val="num" w:pos="2722"/>
        </w:tabs>
        <w:ind w:left="2722" w:hanging="681"/>
      </w:pPr>
      <w:rPr>
        <w:rFonts w:ascii="Times New Roman" w:hAnsi="Times New Roman" w:cs="Times New Roman" w:hint="default"/>
        <w:b w:val="0"/>
        <w:i w:val="0"/>
        <w:caps w:val="0"/>
        <w:strike w:val="0"/>
        <w:dstrike w:val="0"/>
        <w:outline w:val="0"/>
        <w:shadow w:val="0"/>
        <w:emboss w:val="0"/>
        <w:imprint w:val="0"/>
        <w:vanish w:val="0"/>
        <w:color w:val="auto"/>
        <w:sz w:val="18"/>
        <w:u w:val="none"/>
        <w:effect w:val="none"/>
        <w:vertAlign w:val="baseline"/>
      </w:rPr>
    </w:lvl>
    <w:lvl w:ilvl="7">
      <w:start w:val="1"/>
      <w:numFmt w:val="decimal"/>
      <w:pStyle w:val="ocNum4th8"/>
      <w:lvlText w:val="(%8)"/>
      <w:lvlJc w:val="left"/>
      <w:pPr>
        <w:tabs>
          <w:tab w:val="num" w:pos="3402"/>
        </w:tabs>
        <w:ind w:left="3402" w:hanging="680"/>
      </w:pPr>
      <w:rPr>
        <w:rFonts w:ascii="Times New Roman" w:hAnsi="Times New Roman" w:cs="Times New Roman" w:hint="default"/>
        <w:b w:val="0"/>
        <w:i w:val="0"/>
        <w:caps w:val="0"/>
        <w:strike w:val="0"/>
        <w:dstrike w:val="0"/>
        <w:outline w:val="0"/>
        <w:shadow w:val="0"/>
        <w:emboss w:val="0"/>
        <w:imprint w:val="0"/>
        <w:vanish w:val="0"/>
        <w:color w:val="auto"/>
        <w:sz w:val="20"/>
        <w:u w:val="none"/>
        <w:effect w:val="none"/>
        <w:vertAlign w:val="baseline"/>
      </w:rPr>
    </w:lvl>
    <w:lvl w:ilvl="8">
      <w:start w:val="1"/>
      <w:numFmt w:val="none"/>
      <w:pStyle w:val="ocNum4th9"/>
      <w:suff w:val="nothing"/>
      <w:lvlText w:val=""/>
      <w:lvlJc w:val="left"/>
      <w:pPr>
        <w:ind w:left="0" w:firstLine="0"/>
      </w:pPr>
      <w:rPr>
        <w:rFonts w:ascii="Times New Roman" w:hAnsi="Times New Roman" w:cs="Times New Roman" w:hint="default"/>
        <w:b w:val="0"/>
        <w:i w:val="0"/>
        <w:caps w:val="0"/>
        <w:strike w:val="0"/>
        <w:dstrike w:val="0"/>
        <w:outline w:val="0"/>
        <w:shadow w:val="0"/>
        <w:emboss w:val="0"/>
        <w:imprint w:val="0"/>
        <w:vanish w:val="0"/>
        <w:color w:val="auto"/>
        <w:sz w:val="20"/>
        <w:u w:val="none"/>
        <w:effect w:val="none"/>
        <w:vertAlign w:val="baseline"/>
      </w:rPr>
    </w:lvl>
  </w:abstractNum>
  <w:abstractNum w:abstractNumId="24" w15:restartNumberingAfterBreak="0">
    <w:nsid w:val="55E14E29"/>
    <w:multiLevelType w:val="multilevel"/>
    <w:tmpl w:val="4D34518C"/>
    <w:lvl w:ilvl="0">
      <w:start w:val="1"/>
      <w:numFmt w:val="lowerRoman"/>
      <w:lvlText w:val="(%1)"/>
      <w:lvlJc w:val="left"/>
      <w:pPr>
        <w:tabs>
          <w:tab w:val="num" w:pos="648"/>
        </w:tabs>
        <w:ind w:left="720" w:firstLine="0"/>
      </w:pPr>
      <w:rPr>
        <w:rFonts w:ascii="Times New Roman" w:eastAsia="Times New Roman" w:hAnsi="Times New Roman" w:hint="default"/>
        <w:strike w:val="0"/>
        <w:color w:val="000000"/>
        <w:spacing w:val="0"/>
        <w:w w:val="100"/>
        <w:sz w:val="22"/>
        <w:vertAlign w:val="baseli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5" w15:restartNumberingAfterBreak="0">
    <w:nsid w:val="59F440E8"/>
    <w:multiLevelType w:val="multilevel"/>
    <w:tmpl w:val="4D34518C"/>
    <w:lvl w:ilvl="0">
      <w:start w:val="1"/>
      <w:numFmt w:val="lowerRoman"/>
      <w:lvlText w:val="(%1)"/>
      <w:lvlJc w:val="left"/>
      <w:pPr>
        <w:tabs>
          <w:tab w:val="num" w:pos="648"/>
        </w:tabs>
        <w:ind w:left="720" w:firstLine="0"/>
      </w:pPr>
      <w:rPr>
        <w:rFonts w:ascii="Times New Roman" w:eastAsia="Times New Roman" w:hAnsi="Times New Roman" w:hint="default"/>
        <w:strike w:val="0"/>
        <w:color w:val="000000"/>
        <w:spacing w:val="0"/>
        <w:w w:val="100"/>
        <w:sz w:val="22"/>
        <w:vertAlign w:val="baseli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6" w15:restartNumberingAfterBreak="0">
    <w:nsid w:val="5BA4772C"/>
    <w:multiLevelType w:val="multilevel"/>
    <w:tmpl w:val="4D34518C"/>
    <w:lvl w:ilvl="0">
      <w:start w:val="1"/>
      <w:numFmt w:val="lowerRoman"/>
      <w:lvlText w:val="(%1)"/>
      <w:lvlJc w:val="left"/>
      <w:pPr>
        <w:tabs>
          <w:tab w:val="num" w:pos="648"/>
        </w:tabs>
        <w:ind w:left="720" w:firstLine="0"/>
      </w:pPr>
      <w:rPr>
        <w:rFonts w:ascii="Times New Roman" w:eastAsia="Times New Roman" w:hAnsi="Times New Roman" w:hint="default"/>
        <w:strike w:val="0"/>
        <w:color w:val="000000"/>
        <w:spacing w:val="0"/>
        <w:w w:val="100"/>
        <w:sz w:val="22"/>
        <w:vertAlign w:val="baseli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7" w15:restartNumberingAfterBreak="0">
    <w:nsid w:val="6BC6499F"/>
    <w:multiLevelType w:val="multilevel"/>
    <w:tmpl w:val="40A2F96A"/>
    <w:name w:val="Recital Numbering List"/>
    <w:lvl w:ilvl="0">
      <w:start w:val="1"/>
      <w:numFmt w:val="upperLetter"/>
      <w:pStyle w:val="RecitalNumbering"/>
      <w:lvlText w:val="%1"/>
      <w:lvlJc w:val="left"/>
      <w:pPr>
        <w:tabs>
          <w:tab w:val="num" w:pos="720"/>
        </w:tabs>
        <w:ind w:left="720" w:hanging="720"/>
      </w:pPr>
      <w:rPr>
        <w:caps w:val="0"/>
        <w:effect w:val="none"/>
      </w:rPr>
    </w:lvl>
    <w:lvl w:ilvl="1">
      <w:start w:val="1"/>
      <w:numFmt w:val="lowerRoman"/>
      <w:pStyle w:val="RecitalNumbering2"/>
      <w:lvlText w:val="(%2)"/>
      <w:lvlJc w:val="left"/>
      <w:pPr>
        <w:tabs>
          <w:tab w:val="num" w:pos="1440"/>
        </w:tabs>
        <w:ind w:left="1440" w:hanging="720"/>
      </w:pPr>
      <w:rPr>
        <w:caps w:val="0"/>
        <w:effect w:val="none"/>
      </w:rPr>
    </w:lvl>
    <w:lvl w:ilvl="2">
      <w:start w:val="1"/>
      <w:numFmt w:val="lowerLetter"/>
      <w:pStyle w:val="RecitalNumbering3"/>
      <w:lvlText w:val="(%3)"/>
      <w:lvlJc w:val="left"/>
      <w:pPr>
        <w:tabs>
          <w:tab w:val="num" w:pos="2160"/>
        </w:tabs>
        <w:ind w:left="2160" w:hanging="720"/>
      </w:pPr>
      <w:rPr>
        <w:caps w:val="0"/>
        <w:effect w:val="none"/>
      </w:rPr>
    </w:lvl>
    <w:lvl w:ilvl="3">
      <w:start w:val="1"/>
      <w:numFmt w:val="none"/>
      <w:lvlRestart w:val="0"/>
      <w:lvlText w:val=""/>
      <w:lvlJc w:val="left"/>
      <w:pPr>
        <w:tabs>
          <w:tab w:val="num" w:pos="1800"/>
        </w:tabs>
        <w:ind w:left="1800" w:hanging="1080"/>
      </w:pPr>
      <w:rPr>
        <w:caps w:val="0"/>
        <w:effect w:val="none"/>
      </w:rPr>
    </w:lvl>
    <w:lvl w:ilvl="4">
      <w:start w:val="1"/>
      <w:numFmt w:val="none"/>
      <w:lvlRestart w:val="0"/>
      <w:lvlText w:val=""/>
      <w:lvlJc w:val="left"/>
      <w:pPr>
        <w:tabs>
          <w:tab w:val="num" w:pos="1800"/>
        </w:tabs>
        <w:ind w:left="1800" w:hanging="1080"/>
      </w:pPr>
      <w:rPr>
        <w:caps w:val="0"/>
        <w:effect w:val="none"/>
      </w:rPr>
    </w:lvl>
    <w:lvl w:ilvl="5">
      <w:start w:val="1"/>
      <w:numFmt w:val="none"/>
      <w:lvlRestart w:val="0"/>
      <w:lvlText w:val=""/>
      <w:lvlJc w:val="left"/>
      <w:pPr>
        <w:tabs>
          <w:tab w:val="num" w:pos="1800"/>
        </w:tabs>
        <w:ind w:left="1800" w:hanging="1080"/>
      </w:pPr>
      <w:rPr>
        <w:caps w:val="0"/>
        <w:effect w:val="none"/>
      </w:rPr>
    </w:lvl>
    <w:lvl w:ilvl="6">
      <w:start w:val="1"/>
      <w:numFmt w:val="none"/>
      <w:lvlRestart w:val="0"/>
      <w:lvlText w:val=""/>
      <w:lvlJc w:val="left"/>
      <w:pPr>
        <w:tabs>
          <w:tab w:val="num" w:pos="1800"/>
        </w:tabs>
        <w:ind w:left="1800" w:hanging="1080"/>
      </w:pPr>
      <w:rPr>
        <w:caps w:val="0"/>
        <w:effect w:val="none"/>
      </w:rPr>
    </w:lvl>
    <w:lvl w:ilvl="7">
      <w:start w:val="1"/>
      <w:numFmt w:val="none"/>
      <w:lvlRestart w:val="0"/>
      <w:lvlText w:val=""/>
      <w:lvlJc w:val="left"/>
      <w:pPr>
        <w:tabs>
          <w:tab w:val="num" w:pos="1800"/>
        </w:tabs>
        <w:ind w:left="1800" w:hanging="1080"/>
      </w:pPr>
      <w:rPr>
        <w:caps w:val="0"/>
        <w:effect w:val="none"/>
      </w:rPr>
    </w:lvl>
    <w:lvl w:ilvl="8">
      <w:start w:val="1"/>
      <w:numFmt w:val="none"/>
      <w:lvlRestart w:val="0"/>
      <w:lvlText w:val=""/>
      <w:lvlJc w:val="left"/>
      <w:pPr>
        <w:tabs>
          <w:tab w:val="num" w:pos="1800"/>
        </w:tabs>
        <w:ind w:left="1800" w:hanging="1080"/>
      </w:pPr>
      <w:rPr>
        <w:caps w:val="0"/>
        <w:effect w:val="none"/>
      </w:rPr>
    </w:lvl>
  </w:abstractNum>
  <w:abstractNum w:abstractNumId="28" w15:restartNumberingAfterBreak="0">
    <w:nsid w:val="7339235C"/>
    <w:multiLevelType w:val="multilevel"/>
    <w:tmpl w:val="C0B20504"/>
    <w:name w:val="Plato Schedule Numbering List32"/>
    <w:lvl w:ilvl="0">
      <w:start w:val="1"/>
      <w:numFmt w:val="lowerRoman"/>
      <w:lvlText w:val="(%1)"/>
      <w:lvlJc w:val="left"/>
      <w:pPr>
        <w:tabs>
          <w:tab w:val="num" w:pos="648"/>
        </w:tabs>
        <w:ind w:left="720" w:firstLine="0"/>
      </w:pPr>
      <w:rPr>
        <w:rFonts w:ascii="Times New Roman" w:eastAsia="Times New Roman" w:hAnsi="Times New Roman" w:hint="default"/>
        <w:strike w:val="0"/>
        <w:color w:val="000000"/>
        <w:spacing w:val="0"/>
        <w:w w:val="100"/>
        <w:sz w:val="22"/>
        <w:vertAlign w:val="baseli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9" w15:restartNumberingAfterBreak="0">
    <w:nsid w:val="7CD12BA6"/>
    <w:multiLevelType w:val="multilevel"/>
    <w:tmpl w:val="4D34518C"/>
    <w:name w:val="Plato Schedule Numbering List3222"/>
    <w:lvl w:ilvl="0">
      <w:start w:val="1"/>
      <w:numFmt w:val="lowerRoman"/>
      <w:lvlText w:val="(%1)"/>
      <w:lvlJc w:val="left"/>
      <w:pPr>
        <w:tabs>
          <w:tab w:val="num" w:pos="648"/>
        </w:tabs>
        <w:ind w:left="720" w:firstLine="0"/>
      </w:pPr>
      <w:rPr>
        <w:rFonts w:ascii="Times New Roman" w:eastAsia="Times New Roman" w:hAnsi="Times New Roman" w:hint="default"/>
        <w:strike w:val="0"/>
        <w:color w:val="000000"/>
        <w:spacing w:val="0"/>
        <w:w w:val="100"/>
        <w:sz w:val="22"/>
        <w:vertAlign w:val="baseli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num w:numId="1" w16cid:durableId="705762372">
    <w:abstractNumId w:val="10"/>
  </w:num>
  <w:num w:numId="2" w16cid:durableId="730730213">
    <w:abstractNumId w:val="21"/>
  </w:num>
  <w:num w:numId="3" w16cid:durableId="509106707">
    <w:abstractNumId w:val="16"/>
  </w:num>
  <w:num w:numId="4" w16cid:durableId="1492872664">
    <w:abstractNumId w:val="9"/>
  </w:num>
  <w:num w:numId="5" w16cid:durableId="1140270425">
    <w:abstractNumId w:val="20"/>
  </w:num>
  <w:num w:numId="6" w16cid:durableId="2100373273">
    <w:abstractNumId w:val="27"/>
  </w:num>
  <w:num w:numId="7" w16cid:durableId="309140949">
    <w:abstractNumId w:val="7"/>
  </w:num>
  <w:num w:numId="8" w16cid:durableId="720791757">
    <w:abstractNumId w:val="6"/>
  </w:num>
  <w:num w:numId="9" w16cid:durableId="1562860427">
    <w:abstractNumId w:val="5"/>
  </w:num>
  <w:num w:numId="10" w16cid:durableId="944919829">
    <w:abstractNumId w:val="4"/>
  </w:num>
  <w:num w:numId="11" w16cid:durableId="1563372020">
    <w:abstractNumId w:val="8"/>
  </w:num>
  <w:num w:numId="12" w16cid:durableId="1006830180">
    <w:abstractNumId w:val="3"/>
  </w:num>
  <w:num w:numId="13" w16cid:durableId="1695963411">
    <w:abstractNumId w:val="2"/>
  </w:num>
  <w:num w:numId="14" w16cid:durableId="1732730206">
    <w:abstractNumId w:val="1"/>
  </w:num>
  <w:num w:numId="15" w16cid:durableId="879560961">
    <w:abstractNumId w:val="0"/>
  </w:num>
  <w:num w:numId="16" w16cid:durableId="3947391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9281986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30404098">
    <w:abstractNumId w:val="15"/>
  </w:num>
  <w:num w:numId="19" w16cid:durableId="586311571">
    <w:abstractNumId w:val="17"/>
  </w:num>
  <w:num w:numId="20" w16cid:durableId="1230730897">
    <w:abstractNumId w:val="11"/>
  </w:num>
  <w:num w:numId="21" w16cid:durableId="201615310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53488590">
    <w:abstractNumId w:val="28"/>
  </w:num>
  <w:num w:numId="23" w16cid:durableId="763846742">
    <w:abstractNumId w:val="18"/>
  </w:num>
  <w:num w:numId="24" w16cid:durableId="465398474">
    <w:abstractNumId w:val="29"/>
  </w:num>
  <w:num w:numId="25" w16cid:durableId="474614471">
    <w:abstractNumId w:val="19"/>
  </w:num>
  <w:num w:numId="26" w16cid:durableId="581914097">
    <w:abstractNumId w:val="26"/>
  </w:num>
  <w:num w:numId="27" w16cid:durableId="1428112933">
    <w:abstractNumId w:val="12"/>
  </w:num>
  <w:num w:numId="28" w16cid:durableId="1215966340">
    <w:abstractNumId w:val="13"/>
  </w:num>
  <w:num w:numId="29" w16cid:durableId="219287303">
    <w:abstractNumId w:val="25"/>
  </w:num>
  <w:num w:numId="30" w16cid:durableId="1054549422">
    <w:abstractNumId w:val="22"/>
  </w:num>
  <w:num w:numId="31" w16cid:durableId="1184443774">
    <w:abstractNumId w:val="24"/>
  </w:num>
  <w:num w:numId="32" w16cid:durableId="947903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12315837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677974160">
    <w:abstractNumId w:val="23"/>
  </w:num>
  <w:num w:numId="35" w16cid:durableId="91319492">
    <w:abstractNumId w:val="14"/>
  </w:num>
  <w:num w:numId="36" w16cid:durableId="1582325526">
    <w:abstractNumId w:val="2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hyphenationZone w:val="916"/>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3074"/>
    <o:shapelayout v:ext="edit">
      <o:idmap v:ext="edit" data="1"/>
    </o:shapelayout>
  </w:hdrShapeDefaults>
  <w:footnotePr>
    <w:footnote w:id="-1"/>
    <w:footnote w:id="0"/>
    <w:footnote w:id="1"/>
  </w:footnotePr>
  <w:endnotePr>
    <w:numFmt w:val="decimal"/>
    <w:endnote w:id="-1"/>
    <w:endnote w:id="0"/>
    <w:endnote w:id="1"/>
  </w:endnotePr>
  <w:compat>
    <w:noTabHangInd/>
    <w:spaceForUL/>
    <w:noColumnBalance/>
    <w:balanceSingleByteDoubleByteWidth/>
    <w:doNotLeaveBackslashAlone/>
    <w:ulTrailSpace/>
    <w:doNotExpandShiftReturn/>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F149E"/>
    <w:rsid w:val="00001FD1"/>
    <w:rsid w:val="00013309"/>
    <w:rsid w:val="00017EE3"/>
    <w:rsid w:val="00025FD0"/>
    <w:rsid w:val="00047F71"/>
    <w:rsid w:val="000562E2"/>
    <w:rsid w:val="000B077F"/>
    <w:rsid w:val="0012079F"/>
    <w:rsid w:val="00120FA0"/>
    <w:rsid w:val="00125473"/>
    <w:rsid w:val="00132F3A"/>
    <w:rsid w:val="00140794"/>
    <w:rsid w:val="00152CF7"/>
    <w:rsid w:val="00160EE0"/>
    <w:rsid w:val="001773F2"/>
    <w:rsid w:val="0019392F"/>
    <w:rsid w:val="001C7E0A"/>
    <w:rsid w:val="001D7315"/>
    <w:rsid w:val="00232A6F"/>
    <w:rsid w:val="00252E59"/>
    <w:rsid w:val="002547EB"/>
    <w:rsid w:val="00263336"/>
    <w:rsid w:val="00287E9A"/>
    <w:rsid w:val="002D57C7"/>
    <w:rsid w:val="002E22F2"/>
    <w:rsid w:val="002E2D1C"/>
    <w:rsid w:val="002F568D"/>
    <w:rsid w:val="00312966"/>
    <w:rsid w:val="003201CA"/>
    <w:rsid w:val="00330168"/>
    <w:rsid w:val="003448B0"/>
    <w:rsid w:val="003474CB"/>
    <w:rsid w:val="003558FD"/>
    <w:rsid w:val="00356370"/>
    <w:rsid w:val="00361971"/>
    <w:rsid w:val="00361A0E"/>
    <w:rsid w:val="003812BA"/>
    <w:rsid w:val="00393099"/>
    <w:rsid w:val="003A5E9F"/>
    <w:rsid w:val="003D0511"/>
    <w:rsid w:val="003D6DDB"/>
    <w:rsid w:val="003F1099"/>
    <w:rsid w:val="00422992"/>
    <w:rsid w:val="00423D08"/>
    <w:rsid w:val="00423DC5"/>
    <w:rsid w:val="00442491"/>
    <w:rsid w:val="00453111"/>
    <w:rsid w:val="00470EDE"/>
    <w:rsid w:val="004A7CF3"/>
    <w:rsid w:val="004B4F9A"/>
    <w:rsid w:val="004C5DCD"/>
    <w:rsid w:val="00503216"/>
    <w:rsid w:val="005138A8"/>
    <w:rsid w:val="005200E3"/>
    <w:rsid w:val="00531DA8"/>
    <w:rsid w:val="005346D1"/>
    <w:rsid w:val="00543D90"/>
    <w:rsid w:val="0056291D"/>
    <w:rsid w:val="00595D30"/>
    <w:rsid w:val="005A5B0F"/>
    <w:rsid w:val="005B2AD9"/>
    <w:rsid w:val="005D6770"/>
    <w:rsid w:val="006018E0"/>
    <w:rsid w:val="00603F83"/>
    <w:rsid w:val="006114A1"/>
    <w:rsid w:val="0063679A"/>
    <w:rsid w:val="006373BE"/>
    <w:rsid w:val="00650C7F"/>
    <w:rsid w:val="00651CB0"/>
    <w:rsid w:val="006C0B2A"/>
    <w:rsid w:val="006C61BF"/>
    <w:rsid w:val="00713F93"/>
    <w:rsid w:val="007208C8"/>
    <w:rsid w:val="007409E1"/>
    <w:rsid w:val="00743643"/>
    <w:rsid w:val="007465B3"/>
    <w:rsid w:val="007638D3"/>
    <w:rsid w:val="00766337"/>
    <w:rsid w:val="007879A1"/>
    <w:rsid w:val="00792B12"/>
    <w:rsid w:val="00793A81"/>
    <w:rsid w:val="007C2CA8"/>
    <w:rsid w:val="007D77D4"/>
    <w:rsid w:val="007E2BD8"/>
    <w:rsid w:val="007F379A"/>
    <w:rsid w:val="00830ED8"/>
    <w:rsid w:val="00836FE6"/>
    <w:rsid w:val="0085300E"/>
    <w:rsid w:val="008716A5"/>
    <w:rsid w:val="00874CEA"/>
    <w:rsid w:val="008A7405"/>
    <w:rsid w:val="008B6594"/>
    <w:rsid w:val="008C1BCF"/>
    <w:rsid w:val="008D4EAF"/>
    <w:rsid w:val="008D5D8D"/>
    <w:rsid w:val="008E55F8"/>
    <w:rsid w:val="00907B0F"/>
    <w:rsid w:val="00912A13"/>
    <w:rsid w:val="00913D58"/>
    <w:rsid w:val="009316DE"/>
    <w:rsid w:val="009444C7"/>
    <w:rsid w:val="0096080A"/>
    <w:rsid w:val="0099069C"/>
    <w:rsid w:val="009A518F"/>
    <w:rsid w:val="009A7A7D"/>
    <w:rsid w:val="009B40D2"/>
    <w:rsid w:val="009C23A9"/>
    <w:rsid w:val="009C3E17"/>
    <w:rsid w:val="009C6B4C"/>
    <w:rsid w:val="009C7419"/>
    <w:rsid w:val="009D6557"/>
    <w:rsid w:val="009F149E"/>
    <w:rsid w:val="009F16EE"/>
    <w:rsid w:val="00A01C8A"/>
    <w:rsid w:val="00A0504E"/>
    <w:rsid w:val="00A0544C"/>
    <w:rsid w:val="00A33E31"/>
    <w:rsid w:val="00A53851"/>
    <w:rsid w:val="00A7201B"/>
    <w:rsid w:val="00AA2F8E"/>
    <w:rsid w:val="00AB2F28"/>
    <w:rsid w:val="00AE5D41"/>
    <w:rsid w:val="00AF57D2"/>
    <w:rsid w:val="00B44E16"/>
    <w:rsid w:val="00B45DF3"/>
    <w:rsid w:val="00B46408"/>
    <w:rsid w:val="00B606B1"/>
    <w:rsid w:val="00B62BBA"/>
    <w:rsid w:val="00BA0C7E"/>
    <w:rsid w:val="00BB66BA"/>
    <w:rsid w:val="00BC16C1"/>
    <w:rsid w:val="00BC3F5B"/>
    <w:rsid w:val="00BE1E20"/>
    <w:rsid w:val="00BE1EEF"/>
    <w:rsid w:val="00BF3DAF"/>
    <w:rsid w:val="00C01820"/>
    <w:rsid w:val="00C14DA2"/>
    <w:rsid w:val="00C42DB6"/>
    <w:rsid w:val="00C43165"/>
    <w:rsid w:val="00C473F1"/>
    <w:rsid w:val="00C501E6"/>
    <w:rsid w:val="00C56DD0"/>
    <w:rsid w:val="00C72E2B"/>
    <w:rsid w:val="00C75C54"/>
    <w:rsid w:val="00C905B0"/>
    <w:rsid w:val="00CA4722"/>
    <w:rsid w:val="00CA7C34"/>
    <w:rsid w:val="00CE3A63"/>
    <w:rsid w:val="00CE6A0F"/>
    <w:rsid w:val="00CF0A2A"/>
    <w:rsid w:val="00D069C3"/>
    <w:rsid w:val="00D176E2"/>
    <w:rsid w:val="00D3463C"/>
    <w:rsid w:val="00D4101D"/>
    <w:rsid w:val="00D42069"/>
    <w:rsid w:val="00D51903"/>
    <w:rsid w:val="00D57BA0"/>
    <w:rsid w:val="00D620EA"/>
    <w:rsid w:val="00D66130"/>
    <w:rsid w:val="00D67F1C"/>
    <w:rsid w:val="00D72A04"/>
    <w:rsid w:val="00D730FC"/>
    <w:rsid w:val="00D73D21"/>
    <w:rsid w:val="00D76A00"/>
    <w:rsid w:val="00D84F6F"/>
    <w:rsid w:val="00D9717F"/>
    <w:rsid w:val="00DA6985"/>
    <w:rsid w:val="00DB0568"/>
    <w:rsid w:val="00DB3CBA"/>
    <w:rsid w:val="00DB6D69"/>
    <w:rsid w:val="00DD755F"/>
    <w:rsid w:val="00DF5C25"/>
    <w:rsid w:val="00DF6F56"/>
    <w:rsid w:val="00E073F7"/>
    <w:rsid w:val="00E16F66"/>
    <w:rsid w:val="00E44220"/>
    <w:rsid w:val="00E750BD"/>
    <w:rsid w:val="00E80857"/>
    <w:rsid w:val="00E828BA"/>
    <w:rsid w:val="00E83B68"/>
    <w:rsid w:val="00E84D41"/>
    <w:rsid w:val="00EA50EB"/>
    <w:rsid w:val="00EE43DE"/>
    <w:rsid w:val="00F019B1"/>
    <w:rsid w:val="00F07E35"/>
    <w:rsid w:val="00F34C5A"/>
    <w:rsid w:val="00F53657"/>
    <w:rsid w:val="00F84E30"/>
    <w:rsid w:val="00F95766"/>
    <w:rsid w:val="00FA635B"/>
    <w:rsid w:val="00FB2BBC"/>
    <w:rsid w:val="00FB4DE8"/>
    <w:rsid w:val="00FB66DC"/>
    <w:rsid w:val="00FC240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14:docId w14:val="0F3BB460"/>
  <w15:chartTrackingRefBased/>
  <w15:docId w15:val="{C5916624-5373-43A7-A989-83ACEA045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8" w:uiPriority="39"/>
    <w:lsdException w:name="toc 9" w:uiPriority="39"/>
    <w:lsdException w:name="caption" w:qFormat="1"/>
    <w:lsdException w:name="Title" w:qFormat="1"/>
    <w:lsdException w:name="Body Text"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eastAsia="SimSun"/>
      <w:sz w:val="22"/>
      <w:szCs w:val="24"/>
      <w:lang w:val="en-GB" w:eastAsia="zh-CN"/>
    </w:rPr>
  </w:style>
  <w:style w:type="paragraph" w:styleId="Heading1">
    <w:name w:val="heading 1"/>
    <w:basedOn w:val="HouseStyleBase"/>
    <w:qFormat/>
    <w:pPr>
      <w:keepNext/>
      <w:numPr>
        <w:numId w:val="2"/>
      </w:numPr>
      <w:outlineLvl w:val="0"/>
    </w:pPr>
    <w:rPr>
      <w:b/>
      <w:caps/>
    </w:rPr>
  </w:style>
  <w:style w:type="paragraph" w:styleId="Heading2">
    <w:name w:val="heading 2"/>
    <w:basedOn w:val="HouseStyleBase"/>
    <w:qFormat/>
    <w:pPr>
      <w:keepNext/>
      <w:numPr>
        <w:ilvl w:val="1"/>
        <w:numId w:val="2"/>
      </w:numPr>
      <w:outlineLvl w:val="1"/>
    </w:pPr>
    <w:rPr>
      <w:b/>
    </w:rPr>
  </w:style>
  <w:style w:type="paragraph" w:styleId="Heading3">
    <w:name w:val="heading 3"/>
    <w:basedOn w:val="HouseStyleBase"/>
    <w:qFormat/>
    <w:pPr>
      <w:numPr>
        <w:ilvl w:val="2"/>
        <w:numId w:val="2"/>
      </w:numPr>
      <w:outlineLvl w:val="2"/>
    </w:pPr>
  </w:style>
  <w:style w:type="paragraph" w:styleId="Heading4">
    <w:name w:val="heading 4"/>
    <w:basedOn w:val="HouseStyleBase"/>
    <w:qFormat/>
    <w:pPr>
      <w:numPr>
        <w:ilvl w:val="3"/>
        <w:numId w:val="2"/>
      </w:numPr>
      <w:outlineLvl w:val="3"/>
    </w:pPr>
  </w:style>
  <w:style w:type="paragraph" w:styleId="Heading5">
    <w:name w:val="heading 5"/>
    <w:basedOn w:val="HouseStyleBase"/>
    <w:qFormat/>
    <w:pPr>
      <w:numPr>
        <w:ilvl w:val="4"/>
        <w:numId w:val="2"/>
      </w:numPr>
      <w:outlineLvl w:val="4"/>
    </w:pPr>
  </w:style>
  <w:style w:type="paragraph" w:styleId="Heading6">
    <w:name w:val="heading 6"/>
    <w:basedOn w:val="HouseStyleBase"/>
    <w:qFormat/>
    <w:pPr>
      <w:numPr>
        <w:ilvl w:val="5"/>
        <w:numId w:val="2"/>
      </w:numPr>
      <w:outlineLvl w:val="5"/>
    </w:pPr>
  </w:style>
  <w:style w:type="paragraph" w:styleId="Heading7">
    <w:name w:val="heading 7"/>
    <w:basedOn w:val="HouseStyleBase"/>
    <w:qFormat/>
    <w:pPr>
      <w:numPr>
        <w:ilvl w:val="6"/>
        <w:numId w:val="2"/>
      </w:numPr>
      <w:outlineLvl w:val="6"/>
    </w:pPr>
  </w:style>
  <w:style w:type="paragraph" w:styleId="Heading8">
    <w:name w:val="heading 8"/>
    <w:basedOn w:val="HouseStyleBase"/>
    <w:qFormat/>
    <w:pPr>
      <w:numPr>
        <w:ilvl w:val="7"/>
        <w:numId w:val="2"/>
      </w:numPr>
      <w:outlineLvl w:val="7"/>
    </w:pPr>
  </w:style>
  <w:style w:type="paragraph" w:styleId="Heading9">
    <w:name w:val="heading 9"/>
    <w:basedOn w:val="HouseStyleBase"/>
    <w:qFormat/>
    <w:pPr>
      <w:numPr>
        <w:ilvl w:val="8"/>
        <w:numId w:val="2"/>
      </w:numPr>
      <w:outlineLvl w:val="8"/>
    </w:p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EndnoteText">
    <w:name w:val="endnote text"/>
    <w:basedOn w:val="HouseStyleBase"/>
    <w:semiHidden/>
    <w:pPr>
      <w:spacing w:after="120"/>
      <w:ind w:left="720" w:hanging="720"/>
    </w:pPr>
    <w:rPr>
      <w:sz w:val="18"/>
    </w:rPr>
  </w:style>
  <w:style w:type="character" w:styleId="EndnoteReference">
    <w:name w:val="endnote reference"/>
    <w:semiHidden/>
    <w:rPr>
      <w:rFonts w:ascii="Times New Roman" w:hAnsi="Times New Roman" w:cs="Times New Roman"/>
      <w:b w:val="0"/>
      <w:bCs w:val="0"/>
      <w:i w:val="0"/>
      <w:iCs w:val="0"/>
      <w:caps w:val="0"/>
      <w:smallCaps w:val="0"/>
      <w:strike w:val="0"/>
      <w:dstrike w:val="0"/>
      <w:outline w:val="0"/>
      <w:shadow w:val="0"/>
      <w:emboss w:val="0"/>
      <w:imprint w:val="0"/>
      <w:snapToGrid w:val="0"/>
      <w:vanish w:val="0"/>
      <w:color w:val="auto"/>
      <w:kern w:val="0"/>
      <w:sz w:val="22"/>
      <w:u w:val="none"/>
      <w:effect w:val="none"/>
      <w:vertAlign w:val="superscript"/>
    </w:rPr>
  </w:style>
  <w:style w:type="paragraph" w:styleId="FootnoteText">
    <w:name w:val="footnote text"/>
    <w:basedOn w:val="HouseStyleBase"/>
    <w:link w:val="FootnoteTextChar"/>
    <w:pPr>
      <w:spacing w:after="60"/>
      <w:ind w:left="720" w:hanging="720"/>
    </w:pPr>
    <w:rPr>
      <w:sz w:val="16"/>
    </w:rPr>
  </w:style>
  <w:style w:type="character" w:styleId="FootnoteReference">
    <w:name w:val="footnote reference"/>
    <w:rPr>
      <w:rFonts w:ascii="Times New Roman" w:hAnsi="Times New Roman" w:cs="Times New Roman"/>
      <w:b w:val="0"/>
      <w:bCs w:val="0"/>
      <w:i w:val="0"/>
      <w:iCs w:val="0"/>
      <w:caps w:val="0"/>
      <w:smallCaps w:val="0"/>
      <w:strike w:val="0"/>
      <w:dstrike w:val="0"/>
      <w:outline w:val="0"/>
      <w:shadow w:val="0"/>
      <w:emboss w:val="0"/>
      <w:imprint w:val="0"/>
      <w:snapToGrid w:val="0"/>
      <w:vanish w:val="0"/>
      <w:color w:val="auto"/>
      <w:kern w:val="0"/>
      <w:sz w:val="22"/>
      <w:u w:val="none"/>
      <w:effect w:val="none"/>
      <w:vertAlign w:val="superscript"/>
    </w:rPr>
  </w:style>
  <w:style w:type="paragraph" w:styleId="TOC1">
    <w:name w:val="toc 1"/>
    <w:uiPriority w:val="39"/>
    <w:pPr>
      <w:tabs>
        <w:tab w:val="left" w:pos="720"/>
        <w:tab w:val="right" w:leader="dot" w:pos="9029"/>
      </w:tabs>
      <w:adjustRightInd w:val="0"/>
      <w:spacing w:after="120"/>
      <w:ind w:left="720" w:hanging="720"/>
    </w:pPr>
    <w:rPr>
      <w:rFonts w:eastAsia="STZhongsong"/>
      <w:caps/>
      <w:kern w:val="28"/>
      <w:sz w:val="22"/>
      <w:lang w:val="en-GB" w:eastAsia="zh-CN"/>
    </w:rPr>
  </w:style>
  <w:style w:type="paragraph" w:styleId="TOC2">
    <w:name w:val="toc 2"/>
    <w:semiHidden/>
    <w:pPr>
      <w:tabs>
        <w:tab w:val="left" w:pos="1440"/>
        <w:tab w:val="right" w:leader="dot" w:pos="9029"/>
      </w:tabs>
      <w:adjustRightInd w:val="0"/>
      <w:spacing w:after="120"/>
      <w:ind w:left="1440" w:hanging="720"/>
    </w:pPr>
    <w:rPr>
      <w:rFonts w:eastAsia="STZhongsong"/>
      <w:kern w:val="28"/>
      <w:sz w:val="22"/>
      <w:lang w:val="en-GB" w:eastAsia="zh-CN"/>
    </w:rPr>
  </w:style>
  <w:style w:type="paragraph" w:styleId="TOC3">
    <w:name w:val="toc 3"/>
    <w:semiHidden/>
    <w:pPr>
      <w:tabs>
        <w:tab w:val="left" w:pos="2160"/>
        <w:tab w:val="right" w:leader="dot" w:pos="9029"/>
      </w:tabs>
      <w:adjustRightInd w:val="0"/>
      <w:spacing w:after="120"/>
      <w:ind w:left="2160" w:hanging="720"/>
    </w:pPr>
    <w:rPr>
      <w:rFonts w:eastAsia="STZhongsong"/>
      <w:kern w:val="28"/>
      <w:sz w:val="22"/>
      <w:lang w:val="en-GB" w:eastAsia="zh-CN"/>
    </w:rPr>
  </w:style>
  <w:style w:type="paragraph" w:styleId="TOC4">
    <w:name w:val="toc 4"/>
    <w:semiHidden/>
    <w:pPr>
      <w:tabs>
        <w:tab w:val="left" w:pos="2880"/>
        <w:tab w:val="right" w:leader="dot" w:pos="9029"/>
      </w:tabs>
      <w:adjustRightInd w:val="0"/>
      <w:spacing w:after="120"/>
      <w:ind w:left="2880" w:hanging="720"/>
    </w:pPr>
    <w:rPr>
      <w:rFonts w:eastAsia="STZhongsong"/>
      <w:kern w:val="28"/>
      <w:sz w:val="22"/>
      <w:lang w:val="en-GB" w:eastAsia="zh-CN"/>
    </w:rPr>
  </w:style>
  <w:style w:type="paragraph" w:styleId="TOC5">
    <w:name w:val="toc 5"/>
    <w:semiHidden/>
    <w:pPr>
      <w:tabs>
        <w:tab w:val="left" w:pos="3600"/>
        <w:tab w:val="right" w:leader="dot" w:pos="9029"/>
      </w:tabs>
      <w:adjustRightInd w:val="0"/>
      <w:spacing w:after="120"/>
      <w:ind w:left="3600" w:hanging="720"/>
    </w:pPr>
    <w:rPr>
      <w:rFonts w:eastAsia="STZhongsong"/>
      <w:kern w:val="28"/>
      <w:sz w:val="22"/>
      <w:lang w:val="en-GB" w:eastAsia="zh-CN"/>
    </w:rPr>
  </w:style>
  <w:style w:type="paragraph" w:styleId="TOC6">
    <w:name w:val="toc 6"/>
    <w:semiHidden/>
    <w:pPr>
      <w:tabs>
        <w:tab w:val="left" w:pos="4320"/>
        <w:tab w:val="right" w:leader="dot" w:pos="9029"/>
      </w:tabs>
      <w:adjustRightInd w:val="0"/>
      <w:spacing w:after="120"/>
      <w:ind w:left="4320" w:hanging="720"/>
    </w:pPr>
    <w:rPr>
      <w:rFonts w:eastAsia="STZhongsong"/>
      <w:kern w:val="28"/>
      <w:sz w:val="22"/>
      <w:lang w:val="en-GB" w:eastAsia="zh-CN"/>
    </w:rPr>
  </w:style>
  <w:style w:type="paragraph" w:styleId="TOC7">
    <w:name w:val="toc 7"/>
    <w:semiHidden/>
    <w:pPr>
      <w:tabs>
        <w:tab w:val="left" w:pos="5040"/>
        <w:tab w:val="right" w:leader="dot" w:pos="9029"/>
      </w:tabs>
      <w:adjustRightInd w:val="0"/>
      <w:spacing w:after="120"/>
      <w:ind w:left="5040" w:hanging="720"/>
    </w:pPr>
    <w:rPr>
      <w:rFonts w:eastAsia="STZhongsong"/>
      <w:kern w:val="28"/>
      <w:sz w:val="22"/>
      <w:lang w:val="en-GB" w:eastAsia="zh-CN"/>
    </w:rPr>
  </w:style>
  <w:style w:type="paragraph" w:styleId="TOC8">
    <w:name w:val="toc 8"/>
    <w:uiPriority w:val="39"/>
    <w:pPr>
      <w:tabs>
        <w:tab w:val="right" w:leader="dot" w:pos="9029"/>
      </w:tabs>
      <w:adjustRightInd w:val="0"/>
      <w:spacing w:after="120"/>
    </w:pPr>
    <w:rPr>
      <w:rFonts w:eastAsia="STZhongsong"/>
      <w:caps/>
      <w:kern w:val="28"/>
      <w:sz w:val="22"/>
      <w:lang w:val="en-GB" w:eastAsia="zh-CN"/>
    </w:rPr>
  </w:style>
  <w:style w:type="paragraph" w:styleId="TOC9">
    <w:name w:val="toc 9"/>
    <w:uiPriority w:val="39"/>
    <w:pPr>
      <w:tabs>
        <w:tab w:val="right" w:leader="dot" w:pos="9029"/>
      </w:tabs>
      <w:adjustRightInd w:val="0"/>
      <w:spacing w:after="120"/>
      <w:ind w:left="720"/>
    </w:pPr>
    <w:rPr>
      <w:rFonts w:eastAsia="STZhongsong"/>
      <w:kern w:val="28"/>
      <w:sz w:val="22"/>
      <w:lang w:val="en-GB" w:eastAsia="zh-CN"/>
    </w:rPr>
  </w:style>
  <w:style w:type="paragraph" w:styleId="Index1">
    <w:name w:val="index 1"/>
    <w:basedOn w:val="Normal"/>
    <w:next w:val="Normal"/>
    <w:semiHidden/>
    <w:pPr>
      <w:tabs>
        <w:tab w:val="right" w:leader="dot" w:pos="9360"/>
      </w:tabs>
      <w:suppressAutoHyphens/>
      <w:ind w:left="1440" w:right="720" w:hanging="1440"/>
    </w:pPr>
  </w:style>
  <w:style w:type="paragraph" w:styleId="Index2">
    <w:name w:val="index 2"/>
    <w:basedOn w:val="Normal"/>
    <w:next w:val="Normal"/>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overflowPunct w:val="0"/>
      <w:autoSpaceDE w:val="0"/>
      <w:autoSpaceDN w:val="0"/>
      <w:adjustRightInd w:val="0"/>
      <w:jc w:val="both"/>
      <w:textAlignment w:val="baseline"/>
    </w:pPr>
    <w:rPr>
      <w:rFonts w:eastAsia="Times New Roman"/>
      <w:szCs w:val="20"/>
      <w:lang w:eastAsia="en-US"/>
    </w:rPr>
  </w:style>
  <w:style w:type="paragraph" w:styleId="Caption">
    <w:name w:val="caption"/>
    <w:basedOn w:val="Normal"/>
    <w:next w:val="Normal"/>
    <w:qFormat/>
  </w:style>
  <w:style w:type="character" w:customStyle="1" w:styleId="EquationCaption">
    <w:name w:val="_Equation Caption"/>
  </w:style>
  <w:style w:type="paragraph" w:styleId="Footer">
    <w:name w:val="footer"/>
    <w:basedOn w:val="Normal"/>
    <w:link w:val="FooterChar"/>
    <w:pPr>
      <w:tabs>
        <w:tab w:val="center" w:pos="4153"/>
        <w:tab w:val="right" w:pos="8306"/>
      </w:tabs>
    </w:pPr>
  </w:style>
  <w:style w:type="paragraph" w:styleId="Header">
    <w:name w:val="header"/>
    <w:basedOn w:val="Normal"/>
    <w:link w:val="HeaderChar"/>
    <w:pPr>
      <w:tabs>
        <w:tab w:val="center" w:pos="4153"/>
        <w:tab w:val="right" w:pos="8306"/>
      </w:tabs>
    </w:pPr>
  </w:style>
  <w:style w:type="character" w:styleId="PageNumber">
    <w:name w:val="page number"/>
    <w:rPr>
      <w:sz w:val="22"/>
    </w:rPr>
  </w:style>
  <w:style w:type="paragraph" w:styleId="BodyText">
    <w:name w:val="Body Text"/>
    <w:basedOn w:val="Normal"/>
    <w:link w:val="BodyTextChar"/>
    <w:qFormat/>
    <w:pPr>
      <w:overflowPunct w:val="0"/>
      <w:autoSpaceDE w:val="0"/>
      <w:autoSpaceDN w:val="0"/>
      <w:adjustRightInd w:val="0"/>
      <w:spacing w:after="120"/>
      <w:jc w:val="both"/>
      <w:textAlignment w:val="baseline"/>
    </w:pPr>
    <w:rPr>
      <w:rFonts w:eastAsia="Times New Roman"/>
      <w:szCs w:val="20"/>
      <w:lang w:eastAsia="en-US"/>
    </w:rPr>
  </w:style>
  <w:style w:type="paragraph" w:styleId="BodyTextIndent">
    <w:name w:val="Body Text Indent"/>
    <w:basedOn w:val="HouseStyleBase"/>
    <w:link w:val="BodyTextIndentChar"/>
    <w:pPr>
      <w:numPr>
        <w:numId w:val="4"/>
      </w:numPr>
    </w:pPr>
  </w:style>
  <w:style w:type="paragraph" w:styleId="BodyTextIndent2">
    <w:name w:val="Body Text Indent 2"/>
    <w:basedOn w:val="HouseStyleBase"/>
    <w:pPr>
      <w:numPr>
        <w:ilvl w:val="1"/>
        <w:numId w:val="4"/>
      </w:numPr>
    </w:pPr>
  </w:style>
  <w:style w:type="paragraph" w:styleId="BodyTextIndent3">
    <w:name w:val="Body Text Indent 3"/>
    <w:basedOn w:val="HouseStyleBase"/>
    <w:pPr>
      <w:ind w:left="1440"/>
    </w:pPr>
  </w:style>
  <w:style w:type="paragraph" w:customStyle="1" w:styleId="BodyTextIndent4">
    <w:name w:val="Body Text Indent 4"/>
    <w:basedOn w:val="HouseStyleBase"/>
    <w:pPr>
      <w:ind w:left="2160"/>
    </w:pPr>
  </w:style>
  <w:style w:type="paragraph" w:customStyle="1" w:styleId="BodyTextIndent5">
    <w:name w:val="Body Text Indent 5"/>
    <w:basedOn w:val="HouseStyleBase"/>
    <w:pPr>
      <w:ind w:left="2880"/>
    </w:pPr>
  </w:style>
  <w:style w:type="paragraph" w:customStyle="1" w:styleId="BodyTextIndent6">
    <w:name w:val="Body Text Indent 6"/>
    <w:basedOn w:val="HouseStyleBase"/>
    <w:pPr>
      <w:ind w:left="3600"/>
    </w:pPr>
  </w:style>
  <w:style w:type="paragraph" w:customStyle="1" w:styleId="BodyTextIndent7">
    <w:name w:val="Body Text Indent 7"/>
    <w:basedOn w:val="HouseStyleBase"/>
    <w:pPr>
      <w:ind w:left="4320"/>
    </w:pPr>
  </w:style>
  <w:style w:type="paragraph" w:customStyle="1" w:styleId="BodyTextIndent8">
    <w:name w:val="Body Text Indent 8"/>
    <w:basedOn w:val="HouseStyleBase"/>
    <w:pPr>
      <w:ind w:left="5040"/>
    </w:pPr>
  </w:style>
  <w:style w:type="paragraph" w:customStyle="1" w:styleId="MarginText">
    <w:name w:val="Margin Text"/>
    <w:basedOn w:val="HouseStyleBase"/>
    <w:link w:val="MarginTextChar"/>
  </w:style>
  <w:style w:type="paragraph" w:customStyle="1" w:styleId="SchHead">
    <w:name w:val="SchHead"/>
    <w:basedOn w:val="HouseStyleBaseCentred"/>
    <w:next w:val="SchPart"/>
    <w:pPr>
      <w:keepNext/>
      <w:numPr>
        <w:numId w:val="5"/>
      </w:numPr>
      <w:jc w:val="center"/>
      <w:outlineLvl w:val="0"/>
    </w:pPr>
    <w:rPr>
      <w:b/>
      <w:caps/>
    </w:rPr>
  </w:style>
  <w:style w:type="paragraph" w:customStyle="1" w:styleId="AppPart">
    <w:name w:val="AppPart"/>
    <w:basedOn w:val="HouseStyleBaseCentred"/>
    <w:pPr>
      <w:numPr>
        <w:ilvl w:val="1"/>
        <w:numId w:val="3"/>
      </w:numPr>
      <w:jc w:val="center"/>
      <w:outlineLvl w:val="1"/>
    </w:pPr>
    <w:rPr>
      <w:b/>
    </w:rPr>
  </w:style>
  <w:style w:type="paragraph" w:styleId="ListBullet">
    <w:name w:val="List Bullet"/>
    <w:basedOn w:val="Normal"/>
    <w:pPr>
      <w:numPr>
        <w:ilvl w:val="10"/>
      </w:numPr>
      <w:overflowPunct w:val="0"/>
      <w:autoSpaceDE w:val="0"/>
      <w:autoSpaceDN w:val="0"/>
      <w:adjustRightInd w:val="0"/>
      <w:spacing w:after="240" w:line="360" w:lineRule="auto"/>
      <w:ind w:left="720" w:hanging="720"/>
      <w:jc w:val="both"/>
      <w:textAlignment w:val="baseline"/>
    </w:pPr>
    <w:rPr>
      <w:rFonts w:eastAsia="Times New Roman"/>
      <w:szCs w:val="20"/>
      <w:lang w:eastAsia="en-US"/>
    </w:rPr>
  </w:style>
  <w:style w:type="paragraph" w:customStyle="1" w:styleId="RecitalNumbering2">
    <w:name w:val="Recital Numbering 2"/>
    <w:basedOn w:val="RecitalNumbering"/>
    <w:pPr>
      <w:numPr>
        <w:ilvl w:val="1"/>
      </w:numPr>
      <w:overflowPunct w:val="0"/>
      <w:autoSpaceDE w:val="0"/>
      <w:autoSpaceDN w:val="0"/>
      <w:textAlignment w:val="baseline"/>
    </w:pPr>
  </w:style>
  <w:style w:type="paragraph" w:customStyle="1" w:styleId="body">
    <w:name w:val="body"/>
    <w:basedOn w:val="Normal"/>
    <w:link w:val="bodyChar"/>
    <w:rPr>
      <w:lang w:eastAsia="en-GB"/>
    </w:rPr>
  </w:style>
  <w:style w:type="paragraph" w:customStyle="1" w:styleId="bodystrong">
    <w:name w:val="body strong"/>
    <w:basedOn w:val="body"/>
    <w:link w:val="bodystrongChar"/>
    <w:rPr>
      <w:b/>
    </w:rPr>
  </w:style>
  <w:style w:type="paragraph" w:customStyle="1" w:styleId="bodystronger">
    <w:name w:val="body stronger"/>
    <w:basedOn w:val="bodystrong"/>
    <w:link w:val="bodystrongerChar"/>
    <w:rPr>
      <w:caps/>
      <w:szCs w:val="22"/>
    </w:rPr>
  </w:style>
  <w:style w:type="character" w:customStyle="1" w:styleId="bodyChar">
    <w:name w:val="body Char"/>
    <w:link w:val="body"/>
    <w:rPr>
      <w:rFonts w:eastAsia="SimSun"/>
      <w:sz w:val="22"/>
      <w:szCs w:val="24"/>
      <w:lang w:val="en-GB" w:eastAsia="en-GB" w:bidi="ar-SA"/>
    </w:rPr>
  </w:style>
  <w:style w:type="character" w:customStyle="1" w:styleId="bodystrongChar">
    <w:name w:val="body strong Char"/>
    <w:link w:val="bodystrong"/>
    <w:rPr>
      <w:rFonts w:eastAsia="SimSun"/>
      <w:b/>
      <w:sz w:val="22"/>
      <w:szCs w:val="24"/>
      <w:lang w:val="en-GB" w:eastAsia="en-GB" w:bidi="ar-SA"/>
    </w:rPr>
  </w:style>
  <w:style w:type="paragraph" w:customStyle="1" w:styleId="bodystrongcentred">
    <w:name w:val="body strong centred"/>
    <w:basedOn w:val="bodystrong"/>
    <w:pPr>
      <w:jc w:val="center"/>
    </w:pPr>
    <w:rPr>
      <w:szCs w:val="22"/>
    </w:rPr>
  </w:style>
  <w:style w:type="paragraph" w:customStyle="1" w:styleId="bodycondstrongcentredspaced">
    <w:name w:val="body cond strong centred spaced"/>
    <w:basedOn w:val="bodycondstrongcentred"/>
    <w:pPr>
      <w:spacing w:after="40"/>
    </w:pPr>
  </w:style>
  <w:style w:type="paragraph" w:customStyle="1" w:styleId="bodycond">
    <w:name w:val="body cond"/>
    <w:basedOn w:val="body"/>
    <w:link w:val="bodycondChar"/>
    <w:rPr>
      <w:spacing w:val="-3"/>
      <w:szCs w:val="22"/>
    </w:rPr>
  </w:style>
  <w:style w:type="paragraph" w:customStyle="1" w:styleId="bodycondstrong">
    <w:name w:val="body cond strong"/>
    <w:basedOn w:val="bodycond"/>
    <w:link w:val="bodycondstrongChar"/>
    <w:rPr>
      <w:b/>
    </w:rPr>
  </w:style>
  <w:style w:type="paragraph" w:customStyle="1" w:styleId="bodycondstrongcentred">
    <w:name w:val="body cond strong centred"/>
    <w:basedOn w:val="bodycondstrong"/>
    <w:link w:val="bodycondstrongcentredChar"/>
    <w:pPr>
      <w:jc w:val="center"/>
    </w:pPr>
  </w:style>
  <w:style w:type="paragraph" w:customStyle="1" w:styleId="bodycondstrongercentred">
    <w:name w:val="body cond stronger centred"/>
    <w:basedOn w:val="bodycondstrongcentred"/>
    <w:link w:val="bodycondstrongercentredChar"/>
    <w:rPr>
      <w:caps/>
    </w:rPr>
  </w:style>
  <w:style w:type="paragraph" w:customStyle="1" w:styleId="bodycondcentred">
    <w:name w:val="body cond centred"/>
    <w:basedOn w:val="bodycond"/>
    <w:pPr>
      <w:jc w:val="center"/>
    </w:pPr>
  </w:style>
  <w:style w:type="character" w:customStyle="1" w:styleId="HeaderChar">
    <w:name w:val="Header Char"/>
    <w:link w:val="Header"/>
    <w:rPr>
      <w:sz w:val="22"/>
      <w:lang w:val="en-GB" w:eastAsia="en-US" w:bidi="ar-SA"/>
    </w:rPr>
  </w:style>
  <w:style w:type="character" w:customStyle="1" w:styleId="bodycondChar">
    <w:name w:val="body cond Char"/>
    <w:link w:val="bodycond"/>
    <w:rPr>
      <w:rFonts w:eastAsia="SimSun"/>
      <w:spacing w:val="-3"/>
      <w:sz w:val="22"/>
      <w:szCs w:val="22"/>
      <w:lang w:val="en-GB" w:eastAsia="en-GB" w:bidi="ar-SA"/>
    </w:rPr>
  </w:style>
  <w:style w:type="character" w:customStyle="1" w:styleId="bodycondstrongChar">
    <w:name w:val="body cond strong Char"/>
    <w:link w:val="bodycondstrong"/>
    <w:rPr>
      <w:rFonts w:eastAsia="SimSun"/>
      <w:b/>
      <w:spacing w:val="-3"/>
      <w:sz w:val="22"/>
      <w:szCs w:val="22"/>
      <w:lang w:val="en-GB" w:eastAsia="en-GB" w:bidi="ar-SA"/>
    </w:rPr>
  </w:style>
  <w:style w:type="character" w:customStyle="1" w:styleId="bodycondstrongcentredChar">
    <w:name w:val="body cond strong centred Char"/>
    <w:basedOn w:val="bodycondstrongChar"/>
    <w:link w:val="bodycondstrongcentred"/>
    <w:rPr>
      <w:rFonts w:eastAsia="SimSun"/>
      <w:b/>
      <w:spacing w:val="-3"/>
      <w:sz w:val="22"/>
      <w:szCs w:val="22"/>
      <w:lang w:val="en-GB" w:eastAsia="en-GB" w:bidi="ar-SA"/>
    </w:rPr>
  </w:style>
  <w:style w:type="character" w:customStyle="1" w:styleId="bodycondstrongercentredChar">
    <w:name w:val="body cond stronger centred Char"/>
    <w:link w:val="bodycondstrongercentred"/>
    <w:rPr>
      <w:rFonts w:eastAsia="SimSun"/>
      <w:b/>
      <w:caps/>
      <w:spacing w:val="-3"/>
      <w:sz w:val="22"/>
      <w:szCs w:val="22"/>
      <w:lang w:val="en-GB" w:eastAsia="en-GB" w:bidi="ar-SA"/>
    </w:rPr>
  </w:style>
  <w:style w:type="paragraph" w:customStyle="1" w:styleId="bodyspaced">
    <w:name w:val="body spaced"/>
    <w:basedOn w:val="body"/>
    <w:pPr>
      <w:spacing w:after="240"/>
    </w:pPr>
  </w:style>
  <w:style w:type="character" w:customStyle="1" w:styleId="bodystrongerChar">
    <w:name w:val="body stronger Char"/>
    <w:link w:val="bodystronger"/>
    <w:rPr>
      <w:rFonts w:eastAsia="SimSun"/>
      <w:b/>
      <w:caps/>
      <w:sz w:val="22"/>
      <w:szCs w:val="22"/>
      <w:lang w:val="en-GB" w:eastAsia="en-GB" w:bidi="ar-SA"/>
    </w:rPr>
  </w:style>
  <w:style w:type="paragraph" w:customStyle="1" w:styleId="bodypartyhead">
    <w:name w:val="body party head"/>
    <w:basedOn w:val="bodystronger"/>
    <w:next w:val="bodyparty"/>
    <w:link w:val="bodypartyheadChar"/>
    <w:pPr>
      <w:spacing w:after="240"/>
      <w:ind w:left="720" w:hanging="720"/>
    </w:pPr>
  </w:style>
  <w:style w:type="paragraph" w:customStyle="1" w:styleId="bodyparty">
    <w:name w:val="body party"/>
    <w:basedOn w:val="body"/>
    <w:pPr>
      <w:spacing w:after="240"/>
      <w:ind w:left="720"/>
      <w:contextualSpacing/>
    </w:pPr>
  </w:style>
  <w:style w:type="table" w:styleId="TableGrid">
    <w:name w:val="Table Grid"/>
    <w:basedOn w:val="TableNormal"/>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ouseStyleBase">
    <w:name w:val="House Style Base"/>
    <w:link w:val="HouseStyleBaseChar"/>
    <w:pPr>
      <w:adjustRightInd w:val="0"/>
      <w:spacing w:after="240"/>
      <w:jc w:val="both"/>
    </w:pPr>
    <w:rPr>
      <w:rFonts w:eastAsia="STZhongsong"/>
      <w:kern w:val="28"/>
      <w:sz w:val="22"/>
      <w:lang w:val="en-GB" w:eastAsia="zh-CN"/>
    </w:rPr>
  </w:style>
  <w:style w:type="character" w:customStyle="1" w:styleId="BodyTextChar">
    <w:name w:val="Body Text Char"/>
    <w:link w:val="BodyText"/>
    <w:rPr>
      <w:sz w:val="22"/>
      <w:lang w:val="en-GB" w:eastAsia="en-US" w:bidi="ar-SA"/>
    </w:rPr>
  </w:style>
  <w:style w:type="character" w:customStyle="1" w:styleId="MarginTextChar">
    <w:name w:val="Margin Text Char"/>
    <w:link w:val="MarginText"/>
    <w:rPr>
      <w:rFonts w:eastAsia="STZhongsong"/>
      <w:kern w:val="28"/>
      <w:sz w:val="22"/>
      <w:lang w:val="en-GB" w:eastAsia="zh-CN" w:bidi="ar-SA"/>
    </w:rPr>
  </w:style>
  <w:style w:type="numbering" w:styleId="111111">
    <w:name w:val="Outline List 2"/>
    <w:basedOn w:val="NoList"/>
    <w:pPr>
      <w:numPr>
        <w:numId w:val="1"/>
      </w:numPr>
    </w:pPr>
  </w:style>
  <w:style w:type="paragraph" w:customStyle="1" w:styleId="BODYDOCTITLE">
    <w:name w:val="BODY DOC TITLE"/>
    <w:basedOn w:val="bodycondstrongercentred"/>
    <w:rPr>
      <w:sz w:val="28"/>
    </w:rPr>
  </w:style>
  <w:style w:type="character" w:customStyle="1" w:styleId="bodypartyheadChar">
    <w:name w:val="body party head Char"/>
    <w:basedOn w:val="bodystrongerChar"/>
    <w:link w:val="bodypartyhead"/>
    <w:rPr>
      <w:rFonts w:eastAsia="SimSun"/>
      <w:b/>
      <w:caps/>
      <w:sz w:val="22"/>
      <w:szCs w:val="22"/>
      <w:lang w:val="en-GB" w:eastAsia="en-GB" w:bidi="ar-SA"/>
    </w:rPr>
  </w:style>
  <w:style w:type="paragraph" w:customStyle="1" w:styleId="Heading">
    <w:name w:val="Heading"/>
    <w:basedOn w:val="HouseStyleBaseCentred"/>
    <w:next w:val="MarginText"/>
    <w:pPr>
      <w:keepNext/>
      <w:jc w:val="center"/>
    </w:pPr>
    <w:rPr>
      <w:b/>
      <w:caps/>
    </w:rPr>
  </w:style>
  <w:style w:type="paragraph" w:customStyle="1" w:styleId="AppHead">
    <w:name w:val="AppHead"/>
    <w:basedOn w:val="HouseStyleBaseCentred"/>
    <w:pPr>
      <w:numPr>
        <w:numId w:val="3"/>
      </w:numPr>
      <w:jc w:val="center"/>
      <w:outlineLvl w:val="0"/>
    </w:pPr>
    <w:rPr>
      <w:b/>
      <w:caps/>
    </w:rPr>
  </w:style>
  <w:style w:type="paragraph" w:customStyle="1" w:styleId="RecitalNumbering">
    <w:name w:val="Recital Numbering"/>
    <w:basedOn w:val="HouseStyleBase"/>
    <w:pPr>
      <w:numPr>
        <w:numId w:val="6"/>
      </w:numPr>
      <w:outlineLvl w:val="0"/>
    </w:pPr>
  </w:style>
  <w:style w:type="paragraph" w:customStyle="1" w:styleId="DefinitionNumbering1">
    <w:name w:val="Definition Numbering 1"/>
    <w:basedOn w:val="HouseStyleBase"/>
    <w:pPr>
      <w:numPr>
        <w:ilvl w:val="2"/>
        <w:numId w:val="4"/>
      </w:numPr>
      <w:outlineLvl w:val="0"/>
    </w:pPr>
  </w:style>
  <w:style w:type="paragraph" w:customStyle="1" w:styleId="DefinitionNumbering2">
    <w:name w:val="Definition Numbering 2"/>
    <w:basedOn w:val="HouseStyleBase"/>
    <w:pPr>
      <w:numPr>
        <w:ilvl w:val="3"/>
        <w:numId w:val="4"/>
      </w:numPr>
      <w:outlineLvl w:val="1"/>
    </w:pPr>
  </w:style>
  <w:style w:type="paragraph" w:customStyle="1" w:styleId="DefinitionNumbering3">
    <w:name w:val="Definition Numbering 3"/>
    <w:basedOn w:val="HouseStyleBase"/>
    <w:pPr>
      <w:numPr>
        <w:ilvl w:val="4"/>
        <w:numId w:val="4"/>
      </w:numPr>
      <w:outlineLvl w:val="2"/>
    </w:pPr>
  </w:style>
  <w:style w:type="paragraph" w:customStyle="1" w:styleId="DefinitionNumbering4">
    <w:name w:val="Definition Numbering 4"/>
    <w:basedOn w:val="HouseStyleBase"/>
    <w:pPr>
      <w:numPr>
        <w:ilvl w:val="5"/>
        <w:numId w:val="4"/>
      </w:numPr>
      <w:outlineLvl w:val="3"/>
    </w:pPr>
  </w:style>
  <w:style w:type="paragraph" w:customStyle="1" w:styleId="DefinitionNumbering5">
    <w:name w:val="Definition Numbering 5"/>
    <w:basedOn w:val="HouseStyleBase"/>
    <w:pPr>
      <w:numPr>
        <w:ilvl w:val="6"/>
        <w:numId w:val="4"/>
      </w:numPr>
      <w:outlineLvl w:val="4"/>
    </w:pPr>
  </w:style>
  <w:style w:type="paragraph" w:customStyle="1" w:styleId="DefinitionNumbering6">
    <w:name w:val="Definition Numbering 6"/>
    <w:basedOn w:val="HouseStyleBase"/>
    <w:pPr>
      <w:numPr>
        <w:ilvl w:val="7"/>
        <w:numId w:val="4"/>
      </w:numPr>
      <w:outlineLvl w:val="5"/>
    </w:pPr>
  </w:style>
  <w:style w:type="paragraph" w:customStyle="1" w:styleId="DefinitionNumbering7">
    <w:name w:val="Definition Numbering 7"/>
    <w:basedOn w:val="HouseStyleBase"/>
    <w:pPr>
      <w:numPr>
        <w:ilvl w:val="8"/>
        <w:numId w:val="4"/>
      </w:numPr>
      <w:outlineLvl w:val="6"/>
    </w:pPr>
  </w:style>
  <w:style w:type="paragraph" w:customStyle="1" w:styleId="DefinitionNumbering8">
    <w:name w:val="Definition Numbering 8"/>
    <w:basedOn w:val="HouseStyleBase"/>
    <w:pPr>
      <w:outlineLvl w:val="7"/>
    </w:pPr>
  </w:style>
  <w:style w:type="paragraph" w:customStyle="1" w:styleId="DefinitionNumbering9">
    <w:name w:val="Definition Numbering 9"/>
    <w:basedOn w:val="HouseStyleBase"/>
    <w:pPr>
      <w:outlineLvl w:val="8"/>
    </w:pPr>
  </w:style>
  <w:style w:type="paragraph" w:customStyle="1" w:styleId="SchPart">
    <w:name w:val="SchPart"/>
    <w:basedOn w:val="HouseStyleBaseCentred"/>
    <w:next w:val="MarginText"/>
    <w:pPr>
      <w:keepNext/>
      <w:numPr>
        <w:ilvl w:val="1"/>
        <w:numId w:val="5"/>
      </w:numPr>
      <w:jc w:val="center"/>
      <w:outlineLvl w:val="1"/>
    </w:pPr>
    <w:rPr>
      <w:b/>
    </w:rPr>
  </w:style>
  <w:style w:type="paragraph" w:customStyle="1" w:styleId="RecitalNumbering3">
    <w:name w:val="Recital Numbering 3"/>
    <w:basedOn w:val="HouseStyleBase"/>
    <w:pPr>
      <w:numPr>
        <w:ilvl w:val="2"/>
        <w:numId w:val="6"/>
      </w:numPr>
      <w:overflowPunct w:val="0"/>
      <w:autoSpaceDE w:val="0"/>
      <w:autoSpaceDN w:val="0"/>
      <w:textAlignment w:val="baseline"/>
    </w:pPr>
  </w:style>
  <w:style w:type="character" w:customStyle="1" w:styleId="bodychar0">
    <w:name w:val="body char"/>
    <w:qFormat/>
    <w:rPr>
      <w:rFonts w:eastAsia="SimSun"/>
      <w:b/>
      <w:sz w:val="22"/>
      <w:szCs w:val="24"/>
      <w:lang w:val="en-GB" w:eastAsia="en-GB" w:bidi="ar-SA"/>
    </w:rPr>
  </w:style>
  <w:style w:type="character" w:customStyle="1" w:styleId="bodycondstrongercentredchar0">
    <w:name w:val="bodycond stronger centred char"/>
    <w:basedOn w:val="bodycondstrongercentredChar"/>
    <w:qFormat/>
    <w:rPr>
      <w:rFonts w:eastAsia="SimSun"/>
      <w:b/>
      <w:caps/>
      <w:spacing w:val="-3"/>
      <w:sz w:val="22"/>
      <w:szCs w:val="22"/>
      <w:lang w:val="en-GB" w:eastAsia="en-GB" w:bidi="ar-SA"/>
    </w:rPr>
  </w:style>
  <w:style w:type="character" w:customStyle="1" w:styleId="HouseStyleBaseChar">
    <w:name w:val="House Style Base Char"/>
    <w:link w:val="HouseStyleBase"/>
    <w:rPr>
      <w:rFonts w:eastAsia="STZhongsong"/>
      <w:kern w:val="28"/>
      <w:sz w:val="22"/>
      <w:lang w:eastAsia="zh-CN"/>
    </w:rPr>
  </w:style>
  <w:style w:type="character" w:customStyle="1" w:styleId="BodyTextIndentChar">
    <w:name w:val="Body Text Indent Char"/>
    <w:link w:val="BodyTextIndent"/>
    <w:rPr>
      <w:rFonts w:eastAsia="STZhongsong"/>
      <w:kern w:val="28"/>
      <w:sz w:val="22"/>
      <w:lang w:val="en-GB" w:eastAsia="zh-CN"/>
    </w:rPr>
  </w:style>
  <w:style w:type="character" w:customStyle="1" w:styleId="bodypartyheadchar0">
    <w:name w:val="body party head char"/>
    <w:qFormat/>
    <w:rPr>
      <w:rFonts w:eastAsia="SimSun"/>
      <w:b/>
      <w:caps/>
      <w:sz w:val="22"/>
      <w:szCs w:val="22"/>
      <w:lang w:val="en-GB" w:eastAsia="en-GB" w:bidi="ar-SA"/>
    </w:rPr>
  </w:style>
  <w:style w:type="character" w:customStyle="1" w:styleId="bodystrongchar0">
    <w:name w:val="body strong char"/>
    <w:basedOn w:val="bodystrongChar"/>
    <w:qFormat/>
    <w:rPr>
      <w:rFonts w:eastAsia="SimSun"/>
      <w:b/>
      <w:sz w:val="22"/>
      <w:szCs w:val="24"/>
      <w:lang w:val="en-GB" w:eastAsia="en-GB" w:bidi="ar-SA"/>
    </w:rPr>
  </w:style>
  <w:style w:type="paragraph" w:customStyle="1" w:styleId="ScheduleL1">
    <w:name w:val="Schedule L1"/>
    <w:basedOn w:val="HouseStyleBase"/>
    <w:pPr>
      <w:numPr>
        <w:numId w:val="18"/>
      </w:numPr>
      <w:outlineLvl w:val="0"/>
    </w:pPr>
  </w:style>
  <w:style w:type="paragraph" w:customStyle="1" w:styleId="ScheduleL2">
    <w:name w:val="Schedule L2"/>
    <w:basedOn w:val="HouseStyleBase"/>
    <w:pPr>
      <w:numPr>
        <w:ilvl w:val="1"/>
        <w:numId w:val="18"/>
      </w:numPr>
      <w:outlineLvl w:val="1"/>
    </w:pPr>
  </w:style>
  <w:style w:type="paragraph" w:customStyle="1" w:styleId="ScheduleL3">
    <w:name w:val="Schedule L3"/>
    <w:basedOn w:val="HouseStyleBase"/>
    <w:pPr>
      <w:numPr>
        <w:ilvl w:val="2"/>
        <w:numId w:val="18"/>
      </w:numPr>
      <w:outlineLvl w:val="2"/>
    </w:pPr>
  </w:style>
  <w:style w:type="paragraph" w:customStyle="1" w:styleId="ScheduleL4">
    <w:name w:val="Schedule L4"/>
    <w:basedOn w:val="HouseStyleBase"/>
    <w:pPr>
      <w:numPr>
        <w:ilvl w:val="3"/>
        <w:numId w:val="18"/>
      </w:numPr>
      <w:outlineLvl w:val="3"/>
    </w:pPr>
  </w:style>
  <w:style w:type="paragraph" w:customStyle="1" w:styleId="ScheduleL5">
    <w:name w:val="Schedule L5"/>
    <w:basedOn w:val="HouseStyleBase"/>
    <w:pPr>
      <w:numPr>
        <w:ilvl w:val="4"/>
        <w:numId w:val="18"/>
      </w:numPr>
      <w:outlineLvl w:val="4"/>
    </w:pPr>
  </w:style>
  <w:style w:type="paragraph" w:customStyle="1" w:styleId="ScheduleL6">
    <w:name w:val="Schedule L6"/>
    <w:basedOn w:val="HouseStyleBase"/>
    <w:pPr>
      <w:numPr>
        <w:ilvl w:val="5"/>
        <w:numId w:val="18"/>
      </w:numPr>
      <w:outlineLvl w:val="5"/>
    </w:pPr>
  </w:style>
  <w:style w:type="paragraph" w:customStyle="1" w:styleId="ScheduleL7">
    <w:name w:val="Schedule L7"/>
    <w:basedOn w:val="HouseStyleBase"/>
    <w:pPr>
      <w:numPr>
        <w:ilvl w:val="6"/>
        <w:numId w:val="18"/>
      </w:numPr>
      <w:outlineLvl w:val="6"/>
    </w:pPr>
  </w:style>
  <w:style w:type="paragraph" w:customStyle="1" w:styleId="ScheduleL8">
    <w:name w:val="Schedule L8"/>
    <w:basedOn w:val="HouseStyleBase"/>
    <w:pPr>
      <w:numPr>
        <w:ilvl w:val="7"/>
        <w:numId w:val="18"/>
      </w:numPr>
      <w:outlineLvl w:val="7"/>
    </w:pPr>
  </w:style>
  <w:style w:type="paragraph" w:customStyle="1" w:styleId="ScheduleL9">
    <w:name w:val="Schedule L9"/>
    <w:basedOn w:val="HouseStyleBase"/>
    <w:pPr>
      <w:numPr>
        <w:ilvl w:val="8"/>
        <w:numId w:val="18"/>
      </w:numPr>
      <w:outlineLvl w:val="8"/>
    </w:pPr>
  </w:style>
  <w:style w:type="paragraph" w:styleId="BodyText2">
    <w:name w:val="Body Text 2"/>
    <w:basedOn w:val="Normal"/>
    <w:pPr>
      <w:spacing w:after="120"/>
    </w:pPr>
  </w:style>
  <w:style w:type="paragraph" w:customStyle="1" w:styleId="HouseStyleBaseCentred">
    <w:name w:val="House Style Base Centred"/>
    <w:pPr>
      <w:adjustRightInd w:val="0"/>
      <w:spacing w:after="240"/>
    </w:pPr>
    <w:rPr>
      <w:rFonts w:eastAsia="STZhongsong"/>
      <w:kern w:val="28"/>
      <w:sz w:val="22"/>
      <w:lang w:val="en-GB" w:eastAsia="zh-CN"/>
    </w:rPr>
  </w:style>
  <w:style w:type="paragraph" w:customStyle="1" w:styleId="MarginTextHang">
    <w:name w:val="Margin Text Hang"/>
    <w:basedOn w:val="HouseStyleBase"/>
    <w:pPr>
      <w:overflowPunct w:val="0"/>
      <w:autoSpaceDE w:val="0"/>
      <w:autoSpaceDN w:val="0"/>
      <w:ind w:left="720" w:hanging="720"/>
      <w:textAlignment w:val="baseline"/>
    </w:pPr>
  </w:style>
  <w:style w:type="paragraph" w:customStyle="1" w:styleId="SchSection">
    <w:name w:val="SchSection"/>
    <w:basedOn w:val="HouseStyleBaseCentred"/>
    <w:next w:val="MarginText"/>
    <w:pPr>
      <w:keepNext/>
      <w:numPr>
        <w:ilvl w:val="2"/>
        <w:numId w:val="5"/>
      </w:numPr>
      <w:jc w:val="center"/>
      <w:outlineLvl w:val="2"/>
    </w:pPr>
    <w:rPr>
      <w:b/>
    </w:rPr>
  </w:style>
  <w:style w:type="paragraph" w:customStyle="1" w:styleId="BodyTextIndent9">
    <w:name w:val="Body Text Indent 9"/>
    <w:basedOn w:val="HouseStyleBase"/>
    <w:pPr>
      <w:ind w:left="5760"/>
    </w:pPr>
  </w:style>
  <w:style w:type="paragraph" w:customStyle="1" w:styleId="Table-followingparagraph">
    <w:name w:val="Table - following paragraph"/>
    <w:basedOn w:val="HouseStyleBase"/>
    <w:next w:val="MarginText"/>
    <w:pPr>
      <w:spacing w:after="0"/>
    </w:pPr>
    <w:rPr>
      <w:kern w:val="0"/>
    </w:rPr>
  </w:style>
  <w:style w:type="paragraph" w:customStyle="1" w:styleId="Table-Text">
    <w:name w:val="Table - Text"/>
    <w:basedOn w:val="HouseStyleBase"/>
    <w:pPr>
      <w:spacing w:before="120" w:after="120"/>
      <w:jc w:val="left"/>
    </w:pPr>
    <w:rPr>
      <w:kern w:val="0"/>
    </w:rPr>
  </w:style>
  <w:style w:type="character" w:customStyle="1" w:styleId="FooterChar">
    <w:name w:val="Footer Char"/>
    <w:link w:val="Footer"/>
    <w:rPr>
      <w:rFonts w:eastAsia="SimSun"/>
      <w:sz w:val="22"/>
      <w:szCs w:val="24"/>
    </w:r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link w:val="BalloonText"/>
    <w:rPr>
      <w:rFonts w:ascii="Tahoma" w:eastAsia="SimSun" w:hAnsi="Tahoma" w:cs="Tahoma"/>
      <w:sz w:val="16"/>
      <w:szCs w:val="16"/>
      <w:lang w:eastAsia="zh-CN"/>
    </w:rPr>
  </w:style>
  <w:style w:type="paragraph" w:styleId="Bibliography">
    <w:name w:val="Bibliography"/>
    <w:basedOn w:val="Normal"/>
    <w:next w:val="Normal"/>
    <w:uiPriority w:val="37"/>
    <w:semiHidden/>
    <w:unhideWhenUsed/>
  </w:style>
  <w:style w:type="paragraph" w:styleId="BlockText">
    <w:name w:val="Block Text"/>
    <w:basedOn w:val="Normal"/>
    <w:pPr>
      <w:spacing w:after="120"/>
      <w:ind w:left="1440" w:right="1440"/>
    </w:pPr>
  </w:style>
  <w:style w:type="paragraph" w:styleId="BodyText3">
    <w:name w:val="Body Text 3"/>
    <w:basedOn w:val="Normal"/>
    <w:link w:val="BodyText3Char"/>
    <w:pPr>
      <w:spacing w:after="120"/>
    </w:pPr>
    <w:rPr>
      <w:sz w:val="16"/>
      <w:szCs w:val="16"/>
    </w:rPr>
  </w:style>
  <w:style w:type="character" w:customStyle="1" w:styleId="BodyText3Char">
    <w:name w:val="Body Text 3 Char"/>
    <w:link w:val="BodyText3"/>
    <w:rPr>
      <w:rFonts w:eastAsia="SimSun"/>
      <w:sz w:val="16"/>
      <w:szCs w:val="16"/>
      <w:lang w:eastAsia="zh-CN"/>
    </w:rPr>
  </w:style>
  <w:style w:type="paragraph" w:styleId="BodyTextFirstIndent">
    <w:name w:val="Body Text First Indent"/>
    <w:basedOn w:val="BodyText"/>
    <w:link w:val="BodyTextFirstIndentChar"/>
    <w:pPr>
      <w:overflowPunct/>
      <w:autoSpaceDE/>
      <w:autoSpaceDN/>
      <w:adjustRightInd/>
      <w:ind w:firstLine="210"/>
      <w:jc w:val="left"/>
      <w:textAlignment w:val="auto"/>
    </w:pPr>
    <w:rPr>
      <w:rFonts w:eastAsia="SimSun"/>
      <w:szCs w:val="24"/>
      <w:lang w:eastAsia="zh-CN"/>
    </w:rPr>
  </w:style>
  <w:style w:type="character" w:customStyle="1" w:styleId="BodyTextFirstIndentChar">
    <w:name w:val="Body Text First Indent Char"/>
    <w:link w:val="BodyTextFirstIndent"/>
    <w:rPr>
      <w:rFonts w:eastAsia="SimSun"/>
      <w:sz w:val="22"/>
      <w:szCs w:val="24"/>
      <w:lang w:val="en-GB" w:eastAsia="zh-CN" w:bidi="ar-SA"/>
    </w:rPr>
  </w:style>
  <w:style w:type="paragraph" w:styleId="BodyTextFirstIndent2">
    <w:name w:val="Body Text First Indent 2"/>
    <w:basedOn w:val="BodyTextIndent"/>
    <w:link w:val="BodyTextFirstIndent2Char"/>
    <w:pPr>
      <w:numPr>
        <w:numId w:val="0"/>
      </w:numPr>
      <w:adjustRightInd/>
      <w:spacing w:after="120"/>
      <w:ind w:left="283" w:firstLine="210"/>
      <w:jc w:val="left"/>
    </w:pPr>
    <w:rPr>
      <w:rFonts w:eastAsia="SimSun"/>
      <w:kern w:val="0"/>
      <w:szCs w:val="24"/>
    </w:rPr>
  </w:style>
  <w:style w:type="character" w:customStyle="1" w:styleId="BodyTextFirstIndent2Char">
    <w:name w:val="Body Text First Indent 2 Char"/>
    <w:link w:val="BodyTextFirstIndent2"/>
    <w:rPr>
      <w:rFonts w:eastAsia="SimSun"/>
      <w:kern w:val="28"/>
      <w:sz w:val="22"/>
      <w:szCs w:val="24"/>
      <w:lang w:eastAsia="zh-CN"/>
    </w:rPr>
  </w:style>
  <w:style w:type="character" w:styleId="BookTitle">
    <w:name w:val="Book Title"/>
    <w:uiPriority w:val="33"/>
    <w:qFormat/>
    <w:rPr>
      <w:b/>
      <w:bCs/>
      <w:smallCaps/>
      <w:spacing w:val="5"/>
    </w:rPr>
  </w:style>
  <w:style w:type="paragraph" w:styleId="Closing">
    <w:name w:val="Closing"/>
    <w:basedOn w:val="Normal"/>
    <w:link w:val="ClosingChar"/>
    <w:pPr>
      <w:ind w:left="4252"/>
    </w:pPr>
  </w:style>
  <w:style w:type="character" w:customStyle="1" w:styleId="ClosingChar">
    <w:name w:val="Closing Char"/>
    <w:link w:val="Closing"/>
    <w:rPr>
      <w:rFonts w:eastAsia="SimSun"/>
      <w:sz w:val="22"/>
      <w:szCs w:val="24"/>
      <w:lang w:eastAsia="zh-CN"/>
    </w:rPr>
  </w:style>
  <w:style w:type="table" w:styleId="ColorfulGrid">
    <w:name w:val="Colorful Grid"/>
    <w:basedOn w:val="TableNormal"/>
    <w:uiPriority w:val="73"/>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olorfulGrid-Accent1">
    <w:name w:val="Colorful Grid Accent 1"/>
    <w:basedOn w:val="TableNormal"/>
    <w:uiPriority w:val="73"/>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ColorfulGrid-Accent2">
    <w:name w:val="Colorful Grid Accent 2"/>
    <w:basedOn w:val="TableNormal"/>
    <w:uiPriority w:val="73"/>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olorfulGrid-Accent3">
    <w:name w:val="Colorful Grid Accent 3"/>
    <w:basedOn w:val="TableNormal"/>
    <w:uiPriority w:val="73"/>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ColorfulGrid-Accent4">
    <w:name w:val="Colorful Grid Accent 4"/>
    <w:basedOn w:val="TableNormal"/>
    <w:uiPriority w:val="73"/>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ColorfulGrid-Accent5">
    <w:name w:val="Colorful Grid Accent 5"/>
    <w:basedOn w:val="TableNormal"/>
    <w:uiPriority w:val="73"/>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olorfulGrid-Accent6">
    <w:name w:val="Colorful Grid Accent 6"/>
    <w:basedOn w:val="TableNormal"/>
    <w:uiPriority w:val="73"/>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ColorfulList">
    <w:name w:val="Colorful List"/>
    <w:basedOn w:val="TableNormal"/>
    <w:uiPriority w:val="72"/>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List-Accent1">
    <w:name w:val="Colorful List Accent 1"/>
    <w:basedOn w:val="TableNormal"/>
    <w:uiPriority w:val="72"/>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ColorfulList-Accent2">
    <w:name w:val="Colorful List Accent 2"/>
    <w:basedOn w:val="TableNormal"/>
    <w:uiPriority w:val="72"/>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ColorfulList-Accent3">
    <w:name w:val="Colorful List Accent 3"/>
    <w:basedOn w:val="TableNormal"/>
    <w:uiPriority w:val="72"/>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ColorfulList-Accent4">
    <w:name w:val="Colorful List Accent 4"/>
    <w:basedOn w:val="TableNormal"/>
    <w:uiPriority w:val="72"/>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ColorfulList-Accent5">
    <w:name w:val="Colorful List Accent 5"/>
    <w:basedOn w:val="TableNormal"/>
    <w:uiPriority w:val="72"/>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ColorfulList-Accent6">
    <w:name w:val="Colorful List Accent 6"/>
    <w:basedOn w:val="TableNormal"/>
    <w:uiPriority w:val="72"/>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ColorfulShading">
    <w:name w:val="Colorful Shading"/>
    <w:basedOn w:val="TableNormal"/>
    <w:uiPriority w:val="71"/>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ColorfulShading-Accent1">
    <w:name w:val="Colorful Shading Accent 1"/>
    <w:basedOn w:val="TableNormal"/>
    <w:uiPriority w:val="71"/>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ColorfulShading-Accent2">
    <w:name w:val="Colorful Shading Accent 2"/>
    <w:basedOn w:val="TableNormal"/>
    <w:uiPriority w:val="71"/>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ColorfulShading-Accent3">
    <w:name w:val="Colorful Shading Accent 3"/>
    <w:basedOn w:val="TableNormal"/>
    <w:uiPriority w:val="71"/>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ColorfulShading-Accent4">
    <w:name w:val="Colorful Shading Accent 4"/>
    <w:basedOn w:val="TableNormal"/>
    <w:uiPriority w:val="71"/>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ColorfulShading-Accent5">
    <w:name w:val="Colorful Shading Accent 5"/>
    <w:basedOn w:val="TableNormal"/>
    <w:uiPriority w:val="71"/>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ColorfulShading-Accent6">
    <w:name w:val="Colorful Shading Accent 6"/>
    <w:basedOn w:val="TableNormal"/>
    <w:uiPriority w:val="71"/>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character" w:customStyle="1" w:styleId="CommentTextChar">
    <w:name w:val="Comment Text Char"/>
    <w:link w:val="CommentText"/>
    <w:rPr>
      <w:rFonts w:eastAsia="SimSun"/>
      <w:lang w:eastAsia="zh-CN"/>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link w:val="CommentSubject"/>
    <w:rPr>
      <w:rFonts w:eastAsia="SimSun"/>
      <w:b/>
      <w:bCs/>
      <w:lang w:eastAsia="zh-CN"/>
    </w:rPr>
  </w:style>
  <w:style w:type="table" w:styleId="DarkList">
    <w:name w:val="Dark List"/>
    <w:basedOn w:val="TableNormal"/>
    <w:uiPriority w:val="70"/>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DarkList-Accent1">
    <w:name w:val="Dark List Accent 1"/>
    <w:basedOn w:val="TableNormal"/>
    <w:uiPriority w:val="70"/>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DarkList-Accent2">
    <w:name w:val="Dark List Accent 2"/>
    <w:basedOn w:val="TableNormal"/>
    <w:uiPriority w:val="70"/>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DarkList-Accent3">
    <w:name w:val="Dark List Accent 3"/>
    <w:basedOn w:val="TableNormal"/>
    <w:uiPriority w:val="70"/>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DarkList-Accent4">
    <w:name w:val="Dark List Accent 4"/>
    <w:basedOn w:val="TableNormal"/>
    <w:uiPriority w:val="70"/>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DarkList-Accent5">
    <w:name w:val="Dark List Accent 5"/>
    <w:basedOn w:val="TableNormal"/>
    <w:uiPriority w:val="70"/>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DarkList-Accent6">
    <w:name w:val="Dark List Accent 6"/>
    <w:basedOn w:val="TableNormal"/>
    <w:uiPriority w:val="70"/>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paragraph" w:styleId="Date">
    <w:name w:val="Date"/>
    <w:basedOn w:val="Normal"/>
    <w:next w:val="Normal"/>
    <w:link w:val="DateChar"/>
  </w:style>
  <w:style w:type="character" w:customStyle="1" w:styleId="DateChar">
    <w:name w:val="Date Char"/>
    <w:link w:val="Date"/>
    <w:rPr>
      <w:rFonts w:eastAsia="SimSun"/>
      <w:sz w:val="22"/>
      <w:szCs w:val="24"/>
      <w:lang w:eastAsia="zh-CN"/>
    </w:rPr>
  </w:style>
  <w:style w:type="paragraph" w:styleId="DocumentMap">
    <w:name w:val="Document Map"/>
    <w:basedOn w:val="Normal"/>
    <w:link w:val="DocumentMapChar"/>
    <w:rPr>
      <w:rFonts w:ascii="Tahoma" w:hAnsi="Tahoma" w:cs="Tahoma"/>
      <w:sz w:val="16"/>
      <w:szCs w:val="16"/>
    </w:rPr>
  </w:style>
  <w:style w:type="character" w:customStyle="1" w:styleId="DocumentMapChar">
    <w:name w:val="Document Map Char"/>
    <w:link w:val="DocumentMap"/>
    <w:rPr>
      <w:rFonts w:ascii="Tahoma" w:eastAsia="SimSun" w:hAnsi="Tahoma" w:cs="Tahoma"/>
      <w:sz w:val="16"/>
      <w:szCs w:val="16"/>
      <w:lang w:eastAsia="zh-CN"/>
    </w:rPr>
  </w:style>
  <w:style w:type="paragraph" w:styleId="E-mailSignature">
    <w:name w:val="E-mail Signature"/>
    <w:basedOn w:val="Normal"/>
    <w:link w:val="E-mailSignatureChar"/>
  </w:style>
  <w:style w:type="character" w:customStyle="1" w:styleId="E-mailSignatureChar">
    <w:name w:val="E-mail Signature Char"/>
    <w:link w:val="E-mailSignature"/>
    <w:rPr>
      <w:rFonts w:eastAsia="SimSun"/>
      <w:sz w:val="22"/>
      <w:szCs w:val="24"/>
      <w:lang w:eastAsia="zh-CN"/>
    </w:rPr>
  </w:style>
  <w:style w:type="character" w:styleId="Emphasis">
    <w:name w:val="Emphasis"/>
    <w:qFormat/>
    <w:rPr>
      <w:i/>
      <w:iCs/>
    </w:rPr>
  </w:style>
  <w:style w:type="paragraph" w:styleId="EnvelopeAddress">
    <w:name w:val="envelope address"/>
    <w:basedOn w:val="Normal"/>
    <w:pPr>
      <w:framePr w:w="7920" w:h="1980" w:hRule="exact" w:hSpace="180" w:wrap="auto" w:hAnchor="page" w:xAlign="center" w:yAlign="bottom"/>
      <w:ind w:left="2880"/>
    </w:pPr>
    <w:rPr>
      <w:rFonts w:ascii="Cambria" w:eastAsia="Times New Roman" w:hAnsi="Cambria"/>
      <w:sz w:val="24"/>
    </w:rPr>
  </w:style>
  <w:style w:type="paragraph" w:styleId="EnvelopeReturn">
    <w:name w:val="envelope return"/>
    <w:basedOn w:val="Normal"/>
    <w:rPr>
      <w:rFonts w:ascii="Cambria" w:eastAsia="Times New Roman" w:hAnsi="Cambria"/>
      <w:sz w:val="20"/>
      <w:szCs w:val="20"/>
    </w:rPr>
  </w:style>
  <w:style w:type="character" w:styleId="FollowedHyperlink">
    <w:name w:val="FollowedHyperlink"/>
    <w:rPr>
      <w:color w:val="800080"/>
      <w:u w:val="single"/>
    </w:rPr>
  </w:style>
  <w:style w:type="character" w:styleId="HTMLAcronym">
    <w:name w:val="HTML Acronym"/>
    <w:basedOn w:val="DefaultParagraphFont"/>
  </w:style>
  <w:style w:type="paragraph" w:styleId="HTMLAddress">
    <w:name w:val="HTML Address"/>
    <w:basedOn w:val="Normal"/>
    <w:link w:val="HTMLAddressChar"/>
    <w:rPr>
      <w:i/>
      <w:iCs/>
    </w:rPr>
  </w:style>
  <w:style w:type="character" w:customStyle="1" w:styleId="HTMLAddressChar">
    <w:name w:val="HTML Address Char"/>
    <w:link w:val="HTMLAddress"/>
    <w:rPr>
      <w:rFonts w:eastAsia="SimSun"/>
      <w:i/>
      <w:iCs/>
      <w:sz w:val="22"/>
      <w:szCs w:val="24"/>
      <w:lang w:eastAsia="zh-CN"/>
    </w:rPr>
  </w:style>
  <w:style w:type="character" w:styleId="HTMLCite">
    <w:name w:val="HTML Cite"/>
    <w:rPr>
      <w:i/>
      <w:iCs/>
    </w:rPr>
  </w:style>
  <w:style w:type="character" w:styleId="HTMLCode">
    <w:name w:val="HTML Code"/>
    <w:rPr>
      <w:rFonts w:ascii="Courier New" w:hAnsi="Courier New" w:cs="Courier New"/>
      <w:sz w:val="20"/>
      <w:szCs w:val="20"/>
    </w:rPr>
  </w:style>
  <w:style w:type="character" w:styleId="HTMLDefinition">
    <w:name w:val="HTML Definition"/>
    <w:rPr>
      <w:i/>
      <w:iCs/>
    </w:rPr>
  </w:style>
  <w:style w:type="character" w:styleId="HTMLKeyboard">
    <w:name w:val="HTML Keyboard"/>
    <w:rPr>
      <w:rFonts w:ascii="Courier New" w:hAnsi="Courier New" w:cs="Courier New"/>
      <w:sz w:val="20"/>
      <w:szCs w:val="20"/>
    </w:rPr>
  </w:style>
  <w:style w:type="paragraph" w:styleId="HTMLPreformatted">
    <w:name w:val="HTML Preformatted"/>
    <w:basedOn w:val="Normal"/>
    <w:link w:val="HTMLPreformattedChar"/>
    <w:rPr>
      <w:rFonts w:ascii="Courier New" w:hAnsi="Courier New" w:cs="Courier New"/>
      <w:sz w:val="20"/>
      <w:szCs w:val="20"/>
    </w:rPr>
  </w:style>
  <w:style w:type="character" w:customStyle="1" w:styleId="HTMLPreformattedChar">
    <w:name w:val="HTML Preformatted Char"/>
    <w:link w:val="HTMLPreformatted"/>
    <w:rPr>
      <w:rFonts w:ascii="Courier New" w:eastAsia="SimSun" w:hAnsi="Courier New" w:cs="Courier New"/>
      <w:lang w:eastAsia="zh-CN"/>
    </w:rPr>
  </w:style>
  <w:style w:type="character" w:styleId="HTMLSample">
    <w:name w:val="HTML Sample"/>
    <w:rPr>
      <w:rFonts w:ascii="Courier New" w:hAnsi="Courier New" w:cs="Courier New"/>
    </w:rPr>
  </w:style>
  <w:style w:type="character" w:styleId="HTMLTypewriter">
    <w:name w:val="HTML Typewriter"/>
    <w:rPr>
      <w:rFonts w:ascii="Courier New" w:hAnsi="Courier New" w:cs="Courier New"/>
      <w:sz w:val="20"/>
      <w:szCs w:val="20"/>
    </w:rPr>
  </w:style>
  <w:style w:type="character" w:styleId="HTMLVariable">
    <w:name w:val="HTML Variable"/>
    <w:rPr>
      <w:i/>
      <w:iCs/>
    </w:rPr>
  </w:style>
  <w:style w:type="character" w:styleId="Hyperlink">
    <w:name w:val="Hyperlink"/>
    <w:uiPriority w:val="99"/>
    <w:rPr>
      <w:color w:val="0000FF"/>
      <w:u w:val="single"/>
    </w:rPr>
  </w:style>
  <w:style w:type="paragraph" w:styleId="Index3">
    <w:name w:val="index 3"/>
    <w:basedOn w:val="Normal"/>
    <w:next w:val="Normal"/>
    <w:autoRedefine/>
    <w:pPr>
      <w:ind w:left="660" w:hanging="220"/>
    </w:pPr>
  </w:style>
  <w:style w:type="paragraph" w:styleId="Index4">
    <w:name w:val="index 4"/>
    <w:basedOn w:val="Normal"/>
    <w:next w:val="Normal"/>
    <w:autoRedefine/>
    <w:pPr>
      <w:ind w:left="880" w:hanging="220"/>
    </w:pPr>
  </w:style>
  <w:style w:type="paragraph" w:styleId="Index5">
    <w:name w:val="index 5"/>
    <w:basedOn w:val="Normal"/>
    <w:next w:val="Normal"/>
    <w:autoRedefine/>
    <w:pPr>
      <w:ind w:left="1100" w:hanging="220"/>
    </w:pPr>
  </w:style>
  <w:style w:type="paragraph" w:styleId="Index6">
    <w:name w:val="index 6"/>
    <w:basedOn w:val="Normal"/>
    <w:next w:val="Normal"/>
    <w:autoRedefine/>
    <w:pPr>
      <w:ind w:left="1320" w:hanging="220"/>
    </w:pPr>
  </w:style>
  <w:style w:type="paragraph" w:styleId="Index7">
    <w:name w:val="index 7"/>
    <w:basedOn w:val="Normal"/>
    <w:next w:val="Normal"/>
    <w:autoRedefine/>
    <w:pPr>
      <w:ind w:left="1540" w:hanging="220"/>
    </w:pPr>
  </w:style>
  <w:style w:type="paragraph" w:styleId="Index8">
    <w:name w:val="index 8"/>
    <w:basedOn w:val="Normal"/>
    <w:next w:val="Normal"/>
    <w:autoRedefine/>
    <w:pPr>
      <w:ind w:left="1760" w:hanging="220"/>
    </w:pPr>
  </w:style>
  <w:style w:type="paragraph" w:styleId="Index9">
    <w:name w:val="index 9"/>
    <w:basedOn w:val="Normal"/>
    <w:next w:val="Normal"/>
    <w:autoRedefine/>
    <w:pPr>
      <w:ind w:left="1980" w:hanging="220"/>
    </w:pPr>
  </w:style>
  <w:style w:type="paragraph" w:styleId="IndexHeading">
    <w:name w:val="index heading"/>
    <w:basedOn w:val="Normal"/>
    <w:next w:val="Index1"/>
    <w:rPr>
      <w:rFonts w:ascii="Cambria" w:eastAsia="Times New Roman" w:hAnsi="Cambria"/>
      <w:b/>
      <w:bCs/>
    </w:rPr>
  </w:style>
  <w:style w:type="character" w:styleId="IntenseEmphasis">
    <w:name w:val="Intense Emphasis"/>
    <w:uiPriority w:val="21"/>
    <w:qFormat/>
    <w:rPr>
      <w:b/>
      <w:bCs/>
      <w:i/>
      <w:iCs/>
      <w:color w:val="4F81BD"/>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Pr>
      <w:rFonts w:eastAsia="SimSun"/>
      <w:b/>
      <w:bCs/>
      <w:i/>
      <w:iCs/>
      <w:color w:val="4F81BD"/>
      <w:sz w:val="22"/>
      <w:szCs w:val="24"/>
      <w:lang w:eastAsia="zh-CN"/>
    </w:rPr>
  </w:style>
  <w:style w:type="character" w:styleId="IntenseReference">
    <w:name w:val="Intense Reference"/>
    <w:uiPriority w:val="32"/>
    <w:qFormat/>
    <w:rPr>
      <w:b/>
      <w:bCs/>
      <w:smallCaps/>
      <w:color w:val="C0504D"/>
      <w:spacing w:val="5"/>
      <w:u w:val="single"/>
    </w:rPr>
  </w:style>
  <w:style w:type="table" w:styleId="LightGrid">
    <w:name w:val="Light Grid"/>
    <w:basedOn w:val="TableNormal"/>
    <w:uiPriority w:val="62"/>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Times New Roman" w:eastAsia="Times New Roman" w:hAnsi="Times New Roman"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Times New Roman" w:eastAsia="Times New Roman" w:hAnsi="Times New Roman"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LightGrid-Accent1">
    <w:name w:val="Light Grid Accent 1"/>
    <w:basedOn w:val="TableNormal"/>
    <w:uiPriority w:val="62"/>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Times New Roman" w:eastAsia="Times New Roman" w:hAnsi="Times New Roman"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Times New Roman" w:eastAsia="Times New Roman" w:hAnsi="Times New Roman"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LightGrid-Accent2">
    <w:name w:val="Light Grid Accent 2"/>
    <w:basedOn w:val="TableNormal"/>
    <w:uiPriority w:val="62"/>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Times New Roman" w:eastAsia="Times New Roman" w:hAnsi="Times New Roman"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Times New Roman" w:eastAsia="Times New Roman" w:hAnsi="Times New Roman"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LightGrid-Accent3">
    <w:name w:val="Light Grid Accent 3"/>
    <w:basedOn w:val="TableNormal"/>
    <w:uiPriority w:val="62"/>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Times New Roman" w:eastAsia="Times New Roman" w:hAnsi="Times New Roman"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Times New Roman" w:eastAsia="Times New Roman" w:hAnsi="Times New Roman"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LightGrid-Accent4">
    <w:name w:val="Light Grid Accent 4"/>
    <w:basedOn w:val="TableNormal"/>
    <w:uiPriority w:val="62"/>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Times New Roman" w:eastAsia="Times New Roman" w:hAnsi="Times New Roman"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Times New Roman" w:eastAsia="Times New Roman" w:hAnsi="Times New Roman"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LightGrid-Accent5">
    <w:name w:val="Light Grid Accent 5"/>
    <w:basedOn w:val="TableNormal"/>
    <w:uiPriority w:val="62"/>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Times New Roman" w:eastAsia="Times New Roman" w:hAnsi="Times New Roman"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Times New Roman" w:eastAsia="Times New Roman" w:hAnsi="Times New Roman"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Grid-Accent6">
    <w:name w:val="Light Grid Accent 6"/>
    <w:basedOn w:val="TableNormal"/>
    <w:uiPriority w:val="62"/>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Times New Roman" w:eastAsia="Times New Roman" w:hAnsi="Times New Roman"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Times New Roman" w:eastAsia="Times New Roman" w:hAnsi="Times New Roman"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LightList">
    <w:name w:val="Light List"/>
    <w:basedOn w:val="TableNormal"/>
    <w:uiPriority w:val="61"/>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ghtList-Accent1">
    <w:name w:val="Light List Accent 1"/>
    <w:basedOn w:val="TableNormal"/>
    <w:uiPriority w:val="61"/>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List-Accent2">
    <w:name w:val="Light List Accent 2"/>
    <w:basedOn w:val="TableNormal"/>
    <w:uiPriority w:val="61"/>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ghtList-Accent3">
    <w:name w:val="Light List Accent 3"/>
    <w:basedOn w:val="TableNormal"/>
    <w:uiPriority w:val="61"/>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ghtList-Accent4">
    <w:name w:val="Light List Accent 4"/>
    <w:basedOn w:val="TableNormal"/>
    <w:uiPriority w:val="61"/>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ghtList-Accent5">
    <w:name w:val="Light List Accent 5"/>
    <w:basedOn w:val="TableNormal"/>
    <w:uiPriority w:val="61"/>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ghtList-Accent6">
    <w:name w:val="Light List Accent 6"/>
    <w:basedOn w:val="TableNormal"/>
    <w:uiPriority w:val="61"/>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LightShading">
    <w:name w:val="Light Shading"/>
    <w:basedOn w:val="TableNormal"/>
    <w:uiPriority w:val="60"/>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LightShading-Accent1">
    <w:name w:val="Light Shading Accent 1"/>
    <w:basedOn w:val="TableNormal"/>
    <w:uiPriority w:val="60"/>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60"/>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60"/>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60"/>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LightShading-Accent6">
    <w:name w:val="Light Shading Accent 6"/>
    <w:basedOn w:val="TableNormal"/>
    <w:uiPriority w:val="60"/>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character" w:styleId="LineNumber">
    <w:name w:val="line number"/>
    <w:basedOn w:val="DefaultParagraphFont"/>
  </w:style>
  <w:style w:type="paragraph" w:styleId="List">
    <w:name w:val="List"/>
    <w:basedOn w:val="Normal"/>
    <w:pPr>
      <w:ind w:left="283" w:hanging="283"/>
      <w:contextualSpacing/>
    </w:pPr>
  </w:style>
  <w:style w:type="paragraph" w:styleId="List2">
    <w:name w:val="List 2"/>
    <w:basedOn w:val="Normal"/>
    <w:pPr>
      <w:ind w:left="566" w:hanging="283"/>
      <w:contextualSpacing/>
    </w:pPr>
  </w:style>
  <w:style w:type="paragraph" w:styleId="List3">
    <w:name w:val="List 3"/>
    <w:basedOn w:val="Normal"/>
    <w:pPr>
      <w:ind w:left="849" w:hanging="283"/>
      <w:contextualSpacing/>
    </w:pPr>
  </w:style>
  <w:style w:type="paragraph" w:styleId="List4">
    <w:name w:val="List 4"/>
    <w:basedOn w:val="Normal"/>
    <w:pPr>
      <w:ind w:left="1132" w:hanging="283"/>
      <w:contextualSpacing/>
    </w:pPr>
  </w:style>
  <w:style w:type="paragraph" w:styleId="List5">
    <w:name w:val="List 5"/>
    <w:basedOn w:val="Normal"/>
    <w:pPr>
      <w:ind w:left="1415" w:hanging="283"/>
      <w:contextualSpacing/>
    </w:pPr>
  </w:style>
  <w:style w:type="paragraph" w:styleId="ListBullet2">
    <w:name w:val="List Bullet 2"/>
    <w:basedOn w:val="Normal"/>
    <w:pPr>
      <w:numPr>
        <w:numId w:val="7"/>
      </w:numPr>
      <w:contextualSpacing/>
    </w:pPr>
  </w:style>
  <w:style w:type="paragraph" w:styleId="ListBullet3">
    <w:name w:val="List Bullet 3"/>
    <w:basedOn w:val="Normal"/>
    <w:pPr>
      <w:numPr>
        <w:numId w:val="8"/>
      </w:numPr>
      <w:contextualSpacing/>
    </w:pPr>
  </w:style>
  <w:style w:type="paragraph" w:styleId="ListBullet4">
    <w:name w:val="List Bullet 4"/>
    <w:basedOn w:val="Normal"/>
    <w:pPr>
      <w:numPr>
        <w:numId w:val="9"/>
      </w:numPr>
      <w:contextualSpacing/>
    </w:pPr>
  </w:style>
  <w:style w:type="paragraph" w:styleId="ListBullet5">
    <w:name w:val="List Bullet 5"/>
    <w:basedOn w:val="Normal"/>
    <w:pPr>
      <w:numPr>
        <w:numId w:val="10"/>
      </w:numPr>
      <w:contextualSpacing/>
    </w:pPr>
  </w:style>
  <w:style w:type="paragraph" w:styleId="ListContinue">
    <w:name w:val="List Continue"/>
    <w:basedOn w:val="Normal"/>
    <w:pPr>
      <w:spacing w:after="120"/>
      <w:ind w:left="283"/>
      <w:contextualSpacing/>
    </w:pPr>
  </w:style>
  <w:style w:type="paragraph" w:styleId="ListContinue2">
    <w:name w:val="List Continue 2"/>
    <w:basedOn w:val="Normal"/>
    <w:pPr>
      <w:spacing w:after="120"/>
      <w:ind w:left="566"/>
      <w:contextualSpacing/>
    </w:pPr>
  </w:style>
  <w:style w:type="paragraph" w:styleId="ListContinue3">
    <w:name w:val="List Continue 3"/>
    <w:basedOn w:val="Normal"/>
    <w:pPr>
      <w:spacing w:after="120"/>
      <w:ind w:left="849"/>
      <w:contextualSpacing/>
    </w:pPr>
  </w:style>
  <w:style w:type="paragraph" w:styleId="ListContinue4">
    <w:name w:val="List Continue 4"/>
    <w:basedOn w:val="Normal"/>
    <w:pPr>
      <w:spacing w:after="120"/>
      <w:ind w:left="1132"/>
      <w:contextualSpacing/>
    </w:pPr>
  </w:style>
  <w:style w:type="paragraph" w:styleId="ListContinue5">
    <w:name w:val="List Continue 5"/>
    <w:basedOn w:val="Normal"/>
    <w:pPr>
      <w:spacing w:after="120"/>
      <w:ind w:left="1415"/>
      <w:contextualSpacing/>
    </w:pPr>
  </w:style>
  <w:style w:type="paragraph" w:styleId="ListNumber">
    <w:name w:val="List Number"/>
    <w:basedOn w:val="Normal"/>
    <w:pPr>
      <w:numPr>
        <w:numId w:val="11"/>
      </w:numPr>
      <w:contextualSpacing/>
    </w:pPr>
  </w:style>
  <w:style w:type="paragraph" w:styleId="ListNumber2">
    <w:name w:val="List Number 2"/>
    <w:basedOn w:val="Normal"/>
    <w:pPr>
      <w:numPr>
        <w:numId w:val="12"/>
      </w:numPr>
      <w:contextualSpacing/>
    </w:pPr>
  </w:style>
  <w:style w:type="paragraph" w:styleId="ListNumber3">
    <w:name w:val="List Number 3"/>
    <w:basedOn w:val="Normal"/>
    <w:pPr>
      <w:numPr>
        <w:numId w:val="13"/>
      </w:numPr>
      <w:contextualSpacing/>
    </w:pPr>
  </w:style>
  <w:style w:type="paragraph" w:styleId="ListNumber4">
    <w:name w:val="List Number 4"/>
    <w:basedOn w:val="Normal"/>
    <w:pPr>
      <w:numPr>
        <w:numId w:val="14"/>
      </w:numPr>
      <w:contextualSpacing/>
    </w:pPr>
  </w:style>
  <w:style w:type="paragraph" w:styleId="ListNumber5">
    <w:name w:val="List Number 5"/>
    <w:basedOn w:val="Normal"/>
    <w:pPr>
      <w:numPr>
        <w:numId w:val="15"/>
      </w:numPr>
      <w:contextualSpacing/>
    </w:pPr>
  </w:style>
  <w:style w:type="paragraph" w:styleId="ListParagraph">
    <w:name w:val="List Paragraph"/>
    <w:basedOn w:val="Normal"/>
    <w:uiPriority w:val="34"/>
    <w:qFormat/>
    <w:pPr>
      <w:ind w:left="720"/>
    </w:p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ascii="Courier New" w:eastAsia="SimSun" w:hAnsi="Courier New" w:cs="Courier New"/>
      <w:lang w:val="en-GB" w:eastAsia="zh-CN"/>
    </w:rPr>
  </w:style>
  <w:style w:type="character" w:customStyle="1" w:styleId="MacroTextChar">
    <w:name w:val="Macro Text Char"/>
    <w:link w:val="MacroText"/>
    <w:rPr>
      <w:rFonts w:ascii="Courier New" w:eastAsia="SimSun" w:hAnsi="Courier New" w:cs="Courier New"/>
      <w:lang w:eastAsia="zh-CN"/>
    </w:rPr>
  </w:style>
  <w:style w:type="table" w:styleId="MediumGrid1">
    <w:name w:val="Medium Grid 1"/>
    <w:basedOn w:val="TableNormal"/>
    <w:uiPriority w:val="67"/>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1-Accent1">
    <w:name w:val="Medium Grid 1 Accent 1"/>
    <w:basedOn w:val="TableNormal"/>
    <w:uiPriority w:val="67"/>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MediumGrid1-Accent2">
    <w:name w:val="Medium Grid 1 Accent 2"/>
    <w:basedOn w:val="TableNormal"/>
    <w:uiPriority w:val="67"/>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MediumGrid1-Accent3">
    <w:name w:val="Medium Grid 1 Accent 3"/>
    <w:basedOn w:val="TableNormal"/>
    <w:uiPriority w:val="67"/>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MediumGrid1-Accent4">
    <w:name w:val="Medium Grid 1 Accent 4"/>
    <w:basedOn w:val="TableNormal"/>
    <w:uiPriority w:val="67"/>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MediumGrid1-Accent5">
    <w:name w:val="Medium Grid 1 Accent 5"/>
    <w:basedOn w:val="TableNormal"/>
    <w:uiPriority w:val="67"/>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MediumGrid1-Accent6">
    <w:name w:val="Medium Grid 1 Accent 6"/>
    <w:basedOn w:val="TableNormal"/>
    <w:uiPriority w:val="67"/>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MediumGrid2">
    <w:name w:val="Medium Grid 2"/>
    <w:basedOn w:val="TableNormal"/>
    <w:uiPriority w:val="68"/>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MediumGrid2-Accent1">
    <w:name w:val="Medium Grid 2 Accent 1"/>
    <w:basedOn w:val="TableNormal"/>
    <w:uiPriority w:val="68"/>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MediumGrid2-Accent2">
    <w:name w:val="Medium Grid 2 Accent 2"/>
    <w:basedOn w:val="TableNormal"/>
    <w:uiPriority w:val="68"/>
    <w:rPr>
      <w:rFonts w:ascii="Cambria"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MediumGrid2-Accent3">
    <w:name w:val="Medium Grid 2 Accent 3"/>
    <w:basedOn w:val="TableNormal"/>
    <w:uiPriority w:val="68"/>
    <w:rPr>
      <w:rFonts w:ascii="Cambria"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MediumGrid2-Accent4">
    <w:name w:val="Medium Grid 2 Accent 4"/>
    <w:basedOn w:val="TableNormal"/>
    <w:uiPriority w:val="68"/>
    <w:rPr>
      <w:rFonts w:ascii="Cambria"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MediumGrid2-Accent5">
    <w:name w:val="Medium Grid 2 Accent 5"/>
    <w:basedOn w:val="TableNormal"/>
    <w:uiPriority w:val="68"/>
    <w:rPr>
      <w:rFonts w:ascii="Cambria"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MediumGrid2-Accent6">
    <w:name w:val="Medium Grid 2 Accent 6"/>
    <w:basedOn w:val="TableNormal"/>
    <w:uiPriority w:val="68"/>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styleId="MediumGrid3">
    <w:name w:val="Medium Grid 3"/>
    <w:basedOn w:val="TableNormal"/>
    <w:uiPriority w:val="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MediumGrid3-Accent1">
    <w:name w:val="Medium Grid 3 Accent 1"/>
    <w:basedOn w:val="TableNormal"/>
    <w:uiPriority w:val="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ediumGrid3-Accent2">
    <w:name w:val="Medium Grid 3 Accent 2"/>
    <w:basedOn w:val="TableNormal"/>
    <w:uiPriority w:val="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MediumGrid3-Accent3">
    <w:name w:val="Medium Grid 3 Accent 3"/>
    <w:basedOn w:val="TableNormal"/>
    <w:uiPriority w:val="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MediumGrid3-Accent4">
    <w:name w:val="Medium Grid 3 Accent 4"/>
    <w:basedOn w:val="TableNormal"/>
    <w:uiPriority w:val="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MediumGrid3-Accent5">
    <w:name w:val="Medium Grid 3 Accent 5"/>
    <w:basedOn w:val="TableNormal"/>
    <w:uiPriority w:val="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MediumGrid3-Accent6">
    <w:name w:val="Medium Grid 3 Accent 6"/>
    <w:basedOn w:val="TableNormal"/>
    <w:uiPriority w:val="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MediumList1">
    <w:name w:val="Medium List 1"/>
    <w:basedOn w:val="TableNormal"/>
    <w:uiPriority w:val="65"/>
    <w:rPr>
      <w:color w:val="000000"/>
    </w:rPr>
    <w:tblPr>
      <w:tblStyleRowBandSize w:val="1"/>
      <w:tblStyleColBandSize w:val="1"/>
      <w:tblBorders>
        <w:top w:val="single" w:sz="8" w:space="0" w:color="000000"/>
        <w:bottom w:val="single" w:sz="8" w:space="0" w:color="000000"/>
      </w:tblBorders>
    </w:tblPr>
    <w:tblStylePr w:type="firstRow">
      <w:rPr>
        <w:rFonts w:ascii="Times New Roman" w:eastAsia="Times New Roman" w:hAnsi="Times New Rom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MediumList1-Accent1">
    <w:name w:val="Medium List 1 Accent 1"/>
    <w:basedOn w:val="TableNormal"/>
    <w:uiPriority w:val="65"/>
    <w:rPr>
      <w:color w:val="000000"/>
    </w:rPr>
    <w:tblPr>
      <w:tblStyleRowBandSize w:val="1"/>
      <w:tblStyleColBandSize w:val="1"/>
      <w:tblBorders>
        <w:top w:val="single" w:sz="8" w:space="0" w:color="4F81BD"/>
        <w:bottom w:val="single" w:sz="8" w:space="0" w:color="4F81BD"/>
      </w:tblBorders>
    </w:tblPr>
    <w:tblStylePr w:type="firstRow">
      <w:rPr>
        <w:rFonts w:ascii="Times New Roman" w:eastAsia="Times New Roman" w:hAnsi="Times New Roman"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MediumList1-Accent2">
    <w:name w:val="Medium List 1 Accent 2"/>
    <w:basedOn w:val="TableNormal"/>
    <w:uiPriority w:val="65"/>
    <w:rPr>
      <w:color w:val="000000"/>
    </w:rPr>
    <w:tblPr>
      <w:tblStyleRowBandSize w:val="1"/>
      <w:tblStyleColBandSize w:val="1"/>
      <w:tblBorders>
        <w:top w:val="single" w:sz="8" w:space="0" w:color="C0504D"/>
        <w:bottom w:val="single" w:sz="8" w:space="0" w:color="C0504D"/>
      </w:tblBorders>
    </w:tblPr>
    <w:tblStylePr w:type="firstRow">
      <w:rPr>
        <w:rFonts w:ascii="Times New Roman" w:eastAsia="Times New Roman" w:hAnsi="Times New Roman"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MediumList1-Accent3">
    <w:name w:val="Medium List 1 Accent 3"/>
    <w:basedOn w:val="TableNormal"/>
    <w:uiPriority w:val="65"/>
    <w:rPr>
      <w:color w:val="000000"/>
    </w:rPr>
    <w:tblPr>
      <w:tblStyleRowBandSize w:val="1"/>
      <w:tblStyleColBandSize w:val="1"/>
      <w:tblBorders>
        <w:top w:val="single" w:sz="8" w:space="0" w:color="9BBB59"/>
        <w:bottom w:val="single" w:sz="8" w:space="0" w:color="9BBB59"/>
      </w:tblBorders>
    </w:tblPr>
    <w:tblStylePr w:type="firstRow">
      <w:rPr>
        <w:rFonts w:ascii="Times New Roman" w:eastAsia="Times New Roman" w:hAnsi="Times New Roman"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MediumList1-Accent4">
    <w:name w:val="Medium List 1 Accent 4"/>
    <w:basedOn w:val="TableNormal"/>
    <w:uiPriority w:val="65"/>
    <w:rPr>
      <w:color w:val="000000"/>
    </w:rPr>
    <w:tblPr>
      <w:tblStyleRowBandSize w:val="1"/>
      <w:tblStyleColBandSize w:val="1"/>
      <w:tblBorders>
        <w:top w:val="single" w:sz="8" w:space="0" w:color="8064A2"/>
        <w:bottom w:val="single" w:sz="8" w:space="0" w:color="8064A2"/>
      </w:tblBorders>
    </w:tblPr>
    <w:tblStylePr w:type="firstRow">
      <w:rPr>
        <w:rFonts w:ascii="Times New Roman" w:eastAsia="Times New Roman" w:hAnsi="Times New Roman"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MediumList1-Accent5">
    <w:name w:val="Medium List 1 Accent 5"/>
    <w:basedOn w:val="TableNormal"/>
    <w:uiPriority w:val="65"/>
    <w:rPr>
      <w:color w:val="000000"/>
    </w:rPr>
    <w:tblPr>
      <w:tblStyleRowBandSize w:val="1"/>
      <w:tblStyleColBandSize w:val="1"/>
      <w:tblBorders>
        <w:top w:val="single" w:sz="8" w:space="0" w:color="4BACC6"/>
        <w:bottom w:val="single" w:sz="8" w:space="0" w:color="4BACC6"/>
      </w:tblBorders>
    </w:tblPr>
    <w:tblStylePr w:type="firstRow">
      <w:rPr>
        <w:rFonts w:ascii="Times New Roman" w:eastAsia="Times New Roman" w:hAnsi="Times New Roman"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MediumList1-Accent6">
    <w:name w:val="Medium List 1 Accent 6"/>
    <w:basedOn w:val="TableNormal"/>
    <w:uiPriority w:val="65"/>
    <w:rPr>
      <w:color w:val="000000"/>
    </w:rPr>
    <w:tblPr>
      <w:tblStyleRowBandSize w:val="1"/>
      <w:tblStyleColBandSize w:val="1"/>
      <w:tblBorders>
        <w:top w:val="single" w:sz="8" w:space="0" w:color="F79646"/>
        <w:bottom w:val="single" w:sz="8" w:space="0" w:color="F79646"/>
      </w:tblBorders>
    </w:tblPr>
    <w:tblStylePr w:type="firstRow">
      <w:rPr>
        <w:rFonts w:ascii="Times New Roman" w:eastAsia="Times New Roman" w:hAnsi="Times New Roman"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MediumList2">
    <w:name w:val="Medium List 2"/>
    <w:basedOn w:val="TableNormal"/>
    <w:uiPriority w:val="66"/>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MediumList2-Accent1">
    <w:name w:val="Medium List 2 Accent 1"/>
    <w:basedOn w:val="TableNormal"/>
    <w:uiPriority w:val="66"/>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MediumList2-Accent2">
    <w:name w:val="Medium List 2 Accent 2"/>
    <w:basedOn w:val="TableNormal"/>
    <w:uiPriority w:val="66"/>
    <w:rPr>
      <w:rFonts w:ascii="Cambria"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MediumList2-Accent3">
    <w:name w:val="Medium List 2 Accent 3"/>
    <w:basedOn w:val="TableNormal"/>
    <w:uiPriority w:val="66"/>
    <w:rPr>
      <w:rFonts w:ascii="Cambria"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MediumList2-Accent4">
    <w:name w:val="Medium List 2 Accent 4"/>
    <w:basedOn w:val="TableNormal"/>
    <w:uiPriority w:val="66"/>
    <w:rPr>
      <w:rFonts w:ascii="Cambria"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MediumList2-Accent5">
    <w:name w:val="Medium List 2 Accent 5"/>
    <w:basedOn w:val="TableNormal"/>
    <w:uiPriority w:val="66"/>
    <w:rPr>
      <w:rFonts w:ascii="Cambria"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MediumList2-Accent6">
    <w:name w:val="Medium List 2 Accent 6"/>
    <w:basedOn w:val="TableNormal"/>
    <w:uiPriority w:val="66"/>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MediumShading1">
    <w:name w:val="Medium Shading 1"/>
    <w:basedOn w:val="TableNormal"/>
    <w:uiPriority w:val="63"/>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MediumShading1-Accent1">
    <w:name w:val="Medium Shading 1 Accent 1"/>
    <w:basedOn w:val="TableNormal"/>
    <w:uiPriority w:val="63"/>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Shading1-Accent2">
    <w:name w:val="Medium Shading 1 Accent 2"/>
    <w:basedOn w:val="TableNormal"/>
    <w:uiPriority w:val="63"/>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MediumShading1-Accent3">
    <w:name w:val="Medium Shading 1 Accent 3"/>
    <w:basedOn w:val="TableNormal"/>
    <w:uiPriority w:val="63"/>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MediumShading1-Accent4">
    <w:name w:val="Medium Shading 1 Accent 4"/>
    <w:basedOn w:val="TableNormal"/>
    <w:uiPriority w:val="63"/>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MediumShading1-Accent5">
    <w:name w:val="Medium Shading 1 Accent 5"/>
    <w:basedOn w:val="TableNormal"/>
    <w:uiPriority w:val="63"/>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MediumShading1-Accent6">
    <w:name w:val="Medium Shading 1 Accent 6"/>
    <w:basedOn w:val="TableNormal"/>
    <w:uiPriority w:val="63"/>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MediumShading2">
    <w:name w:val="Medium Shading 2"/>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rPr>
  </w:style>
  <w:style w:type="character" w:customStyle="1" w:styleId="MessageHeaderChar">
    <w:name w:val="Message Header Char"/>
    <w:link w:val="MessageHeader"/>
    <w:rPr>
      <w:rFonts w:ascii="Cambria" w:eastAsia="Times New Roman" w:hAnsi="Cambria" w:cs="Times New Roman"/>
      <w:sz w:val="24"/>
      <w:szCs w:val="24"/>
      <w:shd w:val="pct20" w:color="auto" w:fill="auto"/>
      <w:lang w:eastAsia="zh-CN"/>
    </w:rPr>
  </w:style>
  <w:style w:type="paragraph" w:styleId="NoSpacing">
    <w:name w:val="No Spacing"/>
    <w:uiPriority w:val="1"/>
    <w:qFormat/>
    <w:rPr>
      <w:rFonts w:eastAsia="SimSun"/>
      <w:sz w:val="22"/>
      <w:szCs w:val="24"/>
      <w:lang w:val="en-GB" w:eastAsia="zh-CN"/>
    </w:rPr>
  </w:style>
  <w:style w:type="paragraph" w:styleId="NormalWeb">
    <w:name w:val="Normal (Web)"/>
    <w:basedOn w:val="Normal"/>
    <w:uiPriority w:val="99"/>
    <w:rPr>
      <w:sz w:val="24"/>
    </w:rPr>
  </w:style>
  <w:style w:type="paragraph" w:styleId="NormalIndent">
    <w:name w:val="Normal Indent"/>
    <w:basedOn w:val="Normal"/>
    <w:pPr>
      <w:ind w:left="720"/>
    </w:pPr>
  </w:style>
  <w:style w:type="paragraph" w:styleId="NoteHeading">
    <w:name w:val="Note Heading"/>
    <w:basedOn w:val="Normal"/>
    <w:next w:val="Normal"/>
    <w:link w:val="NoteHeadingChar"/>
  </w:style>
  <w:style w:type="character" w:customStyle="1" w:styleId="NoteHeadingChar">
    <w:name w:val="Note Heading Char"/>
    <w:link w:val="NoteHeading"/>
    <w:rPr>
      <w:rFonts w:eastAsia="SimSun"/>
      <w:sz w:val="22"/>
      <w:szCs w:val="24"/>
      <w:lang w:eastAsia="zh-CN"/>
    </w:rPr>
  </w:style>
  <w:style w:type="character" w:styleId="PlaceholderText">
    <w:name w:val="Placeholder Text"/>
    <w:uiPriority w:val="99"/>
    <w:semiHidden/>
    <w:rPr>
      <w:color w:val="808080"/>
    </w:rPr>
  </w:style>
  <w:style w:type="paragraph" w:styleId="PlainText">
    <w:name w:val="Plain Text"/>
    <w:basedOn w:val="Normal"/>
    <w:link w:val="PlainTextChar"/>
    <w:rPr>
      <w:rFonts w:ascii="Courier New" w:hAnsi="Courier New" w:cs="Courier New"/>
      <w:sz w:val="20"/>
      <w:szCs w:val="20"/>
    </w:rPr>
  </w:style>
  <w:style w:type="character" w:customStyle="1" w:styleId="PlainTextChar">
    <w:name w:val="Plain Text Char"/>
    <w:link w:val="PlainText"/>
    <w:rPr>
      <w:rFonts w:ascii="Courier New" w:eastAsia="SimSun" w:hAnsi="Courier New" w:cs="Courier New"/>
      <w:lang w:eastAsia="zh-CN"/>
    </w:rPr>
  </w:style>
  <w:style w:type="paragraph" w:styleId="Quote">
    <w:name w:val="Quote"/>
    <w:basedOn w:val="Normal"/>
    <w:next w:val="Normal"/>
    <w:link w:val="QuoteChar"/>
    <w:uiPriority w:val="29"/>
    <w:qFormat/>
    <w:rPr>
      <w:i/>
      <w:iCs/>
      <w:color w:val="000000"/>
    </w:rPr>
  </w:style>
  <w:style w:type="character" w:customStyle="1" w:styleId="QuoteChar">
    <w:name w:val="Quote Char"/>
    <w:link w:val="Quote"/>
    <w:uiPriority w:val="29"/>
    <w:rPr>
      <w:rFonts w:eastAsia="SimSun"/>
      <w:i/>
      <w:iCs/>
      <w:color w:val="000000"/>
      <w:sz w:val="22"/>
      <w:szCs w:val="24"/>
      <w:lang w:eastAsia="zh-CN"/>
    </w:rPr>
  </w:style>
  <w:style w:type="paragraph" w:styleId="Salutation">
    <w:name w:val="Salutation"/>
    <w:basedOn w:val="Normal"/>
    <w:next w:val="Normal"/>
    <w:link w:val="SalutationChar"/>
  </w:style>
  <w:style w:type="character" w:customStyle="1" w:styleId="SalutationChar">
    <w:name w:val="Salutation Char"/>
    <w:link w:val="Salutation"/>
    <w:rPr>
      <w:rFonts w:eastAsia="SimSun"/>
      <w:sz w:val="22"/>
      <w:szCs w:val="24"/>
      <w:lang w:eastAsia="zh-CN"/>
    </w:rPr>
  </w:style>
  <w:style w:type="paragraph" w:styleId="Signature">
    <w:name w:val="Signature"/>
    <w:basedOn w:val="Normal"/>
    <w:link w:val="SignatureChar"/>
    <w:pPr>
      <w:ind w:left="4252"/>
    </w:pPr>
  </w:style>
  <w:style w:type="character" w:customStyle="1" w:styleId="SignatureChar">
    <w:name w:val="Signature Char"/>
    <w:link w:val="Signature"/>
    <w:rPr>
      <w:rFonts w:eastAsia="SimSun"/>
      <w:sz w:val="22"/>
      <w:szCs w:val="24"/>
      <w:lang w:eastAsia="zh-CN"/>
    </w:rPr>
  </w:style>
  <w:style w:type="character" w:styleId="Strong">
    <w:name w:val="Strong"/>
    <w:qFormat/>
    <w:rPr>
      <w:b/>
      <w:bCs/>
    </w:rPr>
  </w:style>
  <w:style w:type="paragraph" w:styleId="Subtitle">
    <w:name w:val="Subtitle"/>
    <w:basedOn w:val="Normal"/>
    <w:next w:val="Normal"/>
    <w:link w:val="SubtitleChar"/>
    <w:qFormat/>
    <w:pPr>
      <w:spacing w:after="60"/>
      <w:jc w:val="center"/>
      <w:outlineLvl w:val="1"/>
    </w:pPr>
    <w:rPr>
      <w:rFonts w:ascii="Cambria" w:eastAsia="Times New Roman" w:hAnsi="Cambria"/>
      <w:sz w:val="24"/>
    </w:rPr>
  </w:style>
  <w:style w:type="character" w:customStyle="1" w:styleId="SubtitleChar">
    <w:name w:val="Subtitle Char"/>
    <w:link w:val="Subtitle"/>
    <w:rPr>
      <w:rFonts w:ascii="Cambria" w:eastAsia="Times New Roman" w:hAnsi="Cambria" w:cs="Times New Roman"/>
      <w:sz w:val="24"/>
      <w:szCs w:val="24"/>
      <w:lang w:eastAsia="zh-CN"/>
    </w:rPr>
  </w:style>
  <w:style w:type="character" w:styleId="SubtleEmphasis">
    <w:name w:val="Subtle Emphasis"/>
    <w:uiPriority w:val="19"/>
    <w:qFormat/>
    <w:rPr>
      <w:i/>
      <w:iCs/>
      <w:color w:val="808080"/>
    </w:rPr>
  </w:style>
  <w:style w:type="character" w:styleId="SubtleReference">
    <w:name w:val="Subtle Reference"/>
    <w:uiPriority w:val="31"/>
    <w:qFormat/>
    <w:rPr>
      <w:smallCaps/>
      <w:color w:val="C0504D"/>
      <w:u w:val="single"/>
    </w:rPr>
  </w:style>
  <w:style w:type="table" w:styleId="Table3Deffects1">
    <w:name w:val="Table 3D effects 1"/>
    <w:basedOn w:val="TableNormal"/>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none" w:sz="0" w:space="0" w:color="auto"/>
          <w:tr2bl w:val="single" w:sz="6" w:space="0" w:color="000000"/>
        </w:tcBorders>
      </w:tcPr>
    </w:tblStylePr>
  </w:style>
  <w:style w:type="table" w:styleId="TableGrid6">
    <w:name w:val="Table Grid 6"/>
    <w:basedOn w:val="TableNormal"/>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none" w:sz="0" w:space="0" w:color="auto"/>
          <w:tr2bl w:val="single" w:sz="6" w:space="0" w:color="000000"/>
        </w:tcBorders>
      </w:tcPr>
    </w:tblStylePr>
  </w:style>
  <w:style w:type="table" w:styleId="TableGrid7">
    <w:name w:val="Table Grid 7"/>
    <w:basedOn w:val="TableNormal"/>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none" w:sz="0" w:space="0" w:color="auto"/>
          <w:tr2bl w:val="single" w:sz="6" w:space="0" w:color="000000"/>
        </w:tcBorders>
      </w:tcPr>
    </w:tblStylePr>
  </w:style>
  <w:style w:type="table" w:styleId="TableGrid8">
    <w:name w:val="Table Grid 8"/>
    <w:basedOn w:val="TableNormal"/>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pPr>
      <w:ind w:left="220" w:hanging="220"/>
    </w:pPr>
  </w:style>
  <w:style w:type="paragraph" w:styleId="TableofFigures">
    <w:name w:val="table of figures"/>
    <w:basedOn w:val="Normal"/>
    <w:next w:val="Normal"/>
  </w:style>
  <w:style w:type="table" w:styleId="TableProfessional">
    <w:name w:val="Table Professional"/>
    <w:basedOn w:val="TableNormal"/>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qFormat/>
    <w:pPr>
      <w:spacing w:before="240" w:after="60"/>
      <w:jc w:val="center"/>
      <w:outlineLvl w:val="0"/>
    </w:pPr>
    <w:rPr>
      <w:rFonts w:ascii="Cambria" w:eastAsia="Times New Roman" w:hAnsi="Cambria"/>
      <w:b/>
      <w:bCs/>
      <w:kern w:val="28"/>
      <w:sz w:val="32"/>
      <w:szCs w:val="32"/>
    </w:rPr>
  </w:style>
  <w:style w:type="character" w:customStyle="1" w:styleId="TitleChar">
    <w:name w:val="Title Char"/>
    <w:link w:val="Title"/>
    <w:rPr>
      <w:rFonts w:ascii="Cambria" w:eastAsia="Times New Roman" w:hAnsi="Cambria" w:cs="Times New Roman"/>
      <w:b/>
      <w:bCs/>
      <w:kern w:val="28"/>
      <w:sz w:val="32"/>
      <w:szCs w:val="32"/>
      <w:lang w:eastAsia="zh-CN"/>
    </w:rPr>
  </w:style>
  <w:style w:type="paragraph" w:styleId="TOCHeading">
    <w:name w:val="TOC Heading"/>
    <w:basedOn w:val="Heading1"/>
    <w:next w:val="Normal"/>
    <w:uiPriority w:val="39"/>
    <w:qFormat/>
    <w:pPr>
      <w:numPr>
        <w:numId w:val="0"/>
      </w:numPr>
      <w:adjustRightInd/>
      <w:spacing w:before="240" w:after="60"/>
      <w:jc w:val="left"/>
      <w:outlineLvl w:val="9"/>
    </w:pPr>
    <w:rPr>
      <w:rFonts w:ascii="Cambria" w:eastAsia="Times New Roman" w:hAnsi="Cambria"/>
      <w:bCs/>
      <w:caps w:val="0"/>
      <w:kern w:val="32"/>
      <w:sz w:val="32"/>
      <w:szCs w:val="32"/>
    </w:rPr>
  </w:style>
  <w:style w:type="paragraph" w:customStyle="1" w:styleId="ocNum4th1">
    <w:name w:val="oc_Num_4th 1"/>
    <w:basedOn w:val="Normal"/>
    <w:next w:val="BodyText"/>
    <w:pPr>
      <w:numPr>
        <w:numId w:val="34"/>
      </w:numPr>
      <w:spacing w:after="200"/>
      <w:jc w:val="both"/>
      <w:outlineLvl w:val="0"/>
    </w:pPr>
    <w:rPr>
      <w:sz w:val="20"/>
      <w:lang w:bidi="he-IL"/>
    </w:rPr>
  </w:style>
  <w:style w:type="paragraph" w:customStyle="1" w:styleId="ocNum4th2">
    <w:name w:val="oc_Num_4th 2"/>
    <w:basedOn w:val="Normal"/>
    <w:next w:val="Normal"/>
    <w:pPr>
      <w:numPr>
        <w:ilvl w:val="1"/>
        <w:numId w:val="34"/>
      </w:numPr>
      <w:spacing w:after="200"/>
      <w:jc w:val="both"/>
      <w:outlineLvl w:val="1"/>
    </w:pPr>
    <w:rPr>
      <w:sz w:val="20"/>
      <w:lang w:bidi="he-IL"/>
    </w:rPr>
  </w:style>
  <w:style w:type="paragraph" w:customStyle="1" w:styleId="ocNum4th3">
    <w:name w:val="oc_Num_4th 3"/>
    <w:basedOn w:val="Normal"/>
    <w:next w:val="Normal"/>
    <w:pPr>
      <w:numPr>
        <w:ilvl w:val="2"/>
        <w:numId w:val="34"/>
      </w:numPr>
      <w:spacing w:after="200"/>
      <w:jc w:val="both"/>
      <w:outlineLvl w:val="2"/>
    </w:pPr>
    <w:rPr>
      <w:sz w:val="20"/>
      <w:lang w:bidi="he-IL"/>
    </w:rPr>
  </w:style>
  <w:style w:type="paragraph" w:customStyle="1" w:styleId="ocNum4th4">
    <w:name w:val="oc_Num_4th 4"/>
    <w:basedOn w:val="Normal"/>
    <w:next w:val="Normal"/>
    <w:pPr>
      <w:numPr>
        <w:ilvl w:val="3"/>
        <w:numId w:val="34"/>
      </w:numPr>
      <w:spacing w:after="200"/>
      <w:jc w:val="both"/>
      <w:outlineLvl w:val="3"/>
    </w:pPr>
    <w:rPr>
      <w:sz w:val="20"/>
      <w:lang w:bidi="he-IL"/>
    </w:rPr>
  </w:style>
  <w:style w:type="paragraph" w:customStyle="1" w:styleId="ocNum4th5">
    <w:name w:val="oc_Num_4th 5"/>
    <w:basedOn w:val="Normal"/>
    <w:next w:val="BodyText2"/>
    <w:pPr>
      <w:numPr>
        <w:ilvl w:val="4"/>
        <w:numId w:val="34"/>
      </w:numPr>
      <w:spacing w:after="200"/>
      <w:jc w:val="both"/>
      <w:outlineLvl w:val="4"/>
    </w:pPr>
    <w:rPr>
      <w:sz w:val="20"/>
      <w:lang w:bidi="he-IL"/>
    </w:rPr>
  </w:style>
  <w:style w:type="paragraph" w:customStyle="1" w:styleId="ocNum4th6">
    <w:name w:val="oc_Num_4th 6"/>
    <w:basedOn w:val="Normal"/>
    <w:next w:val="BodyText3"/>
    <w:pPr>
      <w:numPr>
        <w:ilvl w:val="5"/>
        <w:numId w:val="34"/>
      </w:numPr>
      <w:spacing w:after="200"/>
      <w:jc w:val="both"/>
      <w:outlineLvl w:val="5"/>
    </w:pPr>
    <w:rPr>
      <w:sz w:val="20"/>
      <w:lang w:bidi="he-IL"/>
    </w:rPr>
  </w:style>
  <w:style w:type="paragraph" w:customStyle="1" w:styleId="ocNum4th7">
    <w:name w:val="oc_Num_4th 7"/>
    <w:basedOn w:val="Normal"/>
    <w:next w:val="Normal"/>
    <w:pPr>
      <w:numPr>
        <w:ilvl w:val="6"/>
        <w:numId w:val="34"/>
      </w:numPr>
      <w:spacing w:after="200"/>
      <w:jc w:val="both"/>
      <w:outlineLvl w:val="6"/>
    </w:pPr>
    <w:rPr>
      <w:sz w:val="20"/>
      <w:lang w:bidi="he-IL"/>
    </w:rPr>
  </w:style>
  <w:style w:type="paragraph" w:customStyle="1" w:styleId="ocNum4th8">
    <w:name w:val="oc_Num_4th 8"/>
    <w:basedOn w:val="Normal"/>
    <w:next w:val="Normal"/>
    <w:pPr>
      <w:numPr>
        <w:ilvl w:val="7"/>
        <w:numId w:val="34"/>
      </w:numPr>
      <w:spacing w:after="200"/>
      <w:jc w:val="both"/>
      <w:outlineLvl w:val="7"/>
    </w:pPr>
    <w:rPr>
      <w:sz w:val="20"/>
      <w:lang w:bidi="he-IL"/>
    </w:rPr>
  </w:style>
  <w:style w:type="paragraph" w:customStyle="1" w:styleId="ocNum4th9">
    <w:name w:val="oc_Num_4th 9"/>
    <w:basedOn w:val="Normal"/>
    <w:next w:val="BodyText"/>
    <w:pPr>
      <w:numPr>
        <w:ilvl w:val="8"/>
        <w:numId w:val="34"/>
      </w:numPr>
      <w:spacing w:after="200"/>
      <w:jc w:val="both"/>
      <w:outlineLvl w:val="8"/>
    </w:pPr>
    <w:rPr>
      <w:sz w:val="20"/>
      <w:lang w:bidi="he-IL"/>
    </w:rPr>
  </w:style>
  <w:style w:type="paragraph" w:customStyle="1" w:styleId="TableMarginNote">
    <w:name w:val="Table Margin Note"/>
    <w:basedOn w:val="Normal"/>
    <w:pPr>
      <w:spacing w:after="200" w:line="288" w:lineRule="auto"/>
      <w:jc w:val="both"/>
    </w:pPr>
    <w:rPr>
      <w:rFonts w:eastAsia="Times New Roman" w:cs="Times"/>
      <w:sz w:val="16"/>
      <w:szCs w:val="20"/>
      <w:lang w:eastAsia="en-US"/>
    </w:rPr>
  </w:style>
  <w:style w:type="paragraph" w:customStyle="1" w:styleId="BulletL9">
    <w:name w:val="Bullet L9"/>
    <w:basedOn w:val="Normal"/>
    <w:pPr>
      <w:numPr>
        <w:ilvl w:val="8"/>
        <w:numId w:val="35"/>
      </w:numPr>
      <w:spacing w:after="200"/>
      <w:jc w:val="both"/>
    </w:pPr>
    <w:rPr>
      <w:sz w:val="24"/>
      <w:lang w:bidi="he-IL"/>
    </w:rPr>
  </w:style>
  <w:style w:type="paragraph" w:customStyle="1" w:styleId="BulletL8">
    <w:name w:val="Bullet L8"/>
    <w:basedOn w:val="Normal"/>
    <w:pPr>
      <w:numPr>
        <w:ilvl w:val="7"/>
        <w:numId w:val="35"/>
      </w:numPr>
      <w:spacing w:after="200"/>
      <w:jc w:val="both"/>
    </w:pPr>
    <w:rPr>
      <w:sz w:val="24"/>
      <w:lang w:bidi="he-IL"/>
    </w:rPr>
  </w:style>
  <w:style w:type="paragraph" w:customStyle="1" w:styleId="BulletL7">
    <w:name w:val="Bullet L7"/>
    <w:basedOn w:val="Normal"/>
    <w:pPr>
      <w:numPr>
        <w:ilvl w:val="6"/>
        <w:numId w:val="35"/>
      </w:numPr>
      <w:spacing w:after="200"/>
      <w:jc w:val="both"/>
      <w:outlineLvl w:val="6"/>
    </w:pPr>
    <w:rPr>
      <w:sz w:val="20"/>
      <w:lang w:bidi="he-IL"/>
    </w:rPr>
  </w:style>
  <w:style w:type="paragraph" w:customStyle="1" w:styleId="BulletL6">
    <w:name w:val="Bullet L6"/>
    <w:basedOn w:val="Normal"/>
    <w:pPr>
      <w:numPr>
        <w:ilvl w:val="5"/>
        <w:numId w:val="35"/>
      </w:numPr>
      <w:spacing w:after="200"/>
      <w:jc w:val="both"/>
      <w:outlineLvl w:val="5"/>
    </w:pPr>
    <w:rPr>
      <w:sz w:val="20"/>
      <w:lang w:bidi="he-IL"/>
    </w:rPr>
  </w:style>
  <w:style w:type="paragraph" w:customStyle="1" w:styleId="BulletL5">
    <w:name w:val="Bullet L5"/>
    <w:basedOn w:val="Normal"/>
    <w:pPr>
      <w:numPr>
        <w:ilvl w:val="4"/>
        <w:numId w:val="35"/>
      </w:numPr>
      <w:spacing w:after="200"/>
      <w:jc w:val="both"/>
      <w:outlineLvl w:val="4"/>
    </w:pPr>
    <w:rPr>
      <w:sz w:val="20"/>
      <w:lang w:bidi="he-IL"/>
    </w:rPr>
  </w:style>
  <w:style w:type="paragraph" w:customStyle="1" w:styleId="BulletL4">
    <w:name w:val="Bullet L4"/>
    <w:basedOn w:val="Normal"/>
    <w:pPr>
      <w:numPr>
        <w:ilvl w:val="3"/>
        <w:numId w:val="35"/>
      </w:numPr>
      <w:spacing w:after="200"/>
      <w:jc w:val="both"/>
      <w:outlineLvl w:val="3"/>
    </w:pPr>
    <w:rPr>
      <w:sz w:val="20"/>
      <w:lang w:bidi="he-IL"/>
    </w:rPr>
  </w:style>
  <w:style w:type="paragraph" w:customStyle="1" w:styleId="BulletL3">
    <w:name w:val="Bullet L3"/>
    <w:basedOn w:val="Normal"/>
    <w:pPr>
      <w:numPr>
        <w:ilvl w:val="2"/>
        <w:numId w:val="35"/>
      </w:numPr>
      <w:spacing w:after="200"/>
      <w:jc w:val="both"/>
      <w:outlineLvl w:val="2"/>
    </w:pPr>
    <w:rPr>
      <w:sz w:val="20"/>
      <w:lang w:bidi="he-IL"/>
    </w:rPr>
  </w:style>
  <w:style w:type="paragraph" w:customStyle="1" w:styleId="BulletL2">
    <w:name w:val="Bullet L2"/>
    <w:basedOn w:val="Normal"/>
    <w:pPr>
      <w:numPr>
        <w:ilvl w:val="1"/>
        <w:numId w:val="35"/>
      </w:numPr>
      <w:spacing w:after="200"/>
      <w:jc w:val="both"/>
      <w:outlineLvl w:val="1"/>
    </w:pPr>
    <w:rPr>
      <w:sz w:val="20"/>
      <w:lang w:bidi="he-IL"/>
    </w:rPr>
  </w:style>
  <w:style w:type="paragraph" w:customStyle="1" w:styleId="BulletL1">
    <w:name w:val="Bullet L1"/>
    <w:basedOn w:val="Normal"/>
    <w:pPr>
      <w:numPr>
        <w:numId w:val="35"/>
      </w:numPr>
      <w:spacing w:after="200"/>
      <w:jc w:val="both"/>
      <w:outlineLvl w:val="0"/>
    </w:pPr>
    <w:rPr>
      <w:sz w:val="20"/>
      <w:lang w:bidi="he-IL"/>
    </w:rPr>
  </w:style>
  <w:style w:type="character" w:customStyle="1" w:styleId="FootnoteTextChar">
    <w:name w:val="Footnote Text Char"/>
    <w:link w:val="FootnoteText"/>
    <w:rsid w:val="00D42069"/>
    <w:rPr>
      <w:rFonts w:eastAsia="STZhongsong"/>
      <w:kern w:val="28"/>
      <w:sz w:val="16"/>
      <w:lang w:val="en-GB" w:eastAsia="zh-CN"/>
    </w:rPr>
  </w:style>
  <w:style w:type="character" w:styleId="UnresolvedMention">
    <w:name w:val="Unresolved Mention"/>
    <w:uiPriority w:val="99"/>
    <w:semiHidden/>
    <w:unhideWhenUsed/>
    <w:rsid w:val="00D73D21"/>
    <w:rPr>
      <w:color w:val="605E5C"/>
      <w:shd w:val="clear" w:color="auto" w:fill="E1DFDD"/>
    </w:rPr>
  </w:style>
  <w:style w:type="paragraph" w:styleId="Revision">
    <w:name w:val="Revision"/>
    <w:hidden/>
    <w:uiPriority w:val="99"/>
    <w:semiHidden/>
    <w:rsid w:val="00B606B1"/>
    <w:rPr>
      <w:rFonts w:eastAsia="SimSun"/>
      <w:sz w:val="22"/>
      <w:szCs w:val="24"/>
      <w:lang w:val="en-GB" w:eastAsia="zh-CN"/>
    </w:rPr>
  </w:style>
  <w:style w:type="paragraph" w:customStyle="1" w:styleId="BodyText1">
    <w:name w:val="Body Text 1"/>
    <w:basedOn w:val="Normal"/>
    <w:qFormat/>
    <w:rsid w:val="006C0B2A"/>
    <w:pPr>
      <w:spacing w:after="200"/>
      <w:ind w:left="680"/>
      <w:jc w:val="both"/>
    </w:pPr>
    <w:rPr>
      <w:rFonts w:eastAsia="Times New Roman" w:cs="Times"/>
      <w:sz w:val="20"/>
      <w:lang w:eastAsia="en-US"/>
    </w:rPr>
  </w:style>
  <w:style w:type="character" w:customStyle="1" w:styleId="wordsection1Char">
    <w:name w:val="wordsection1 Char"/>
    <w:link w:val="wordsection1"/>
    <w:uiPriority w:val="99"/>
    <w:locked/>
    <w:rsid w:val="0012079F"/>
    <w:rPr>
      <w:rFonts w:ascii="Calibri" w:hAnsi="Calibri" w:cs="Calibri"/>
    </w:rPr>
  </w:style>
  <w:style w:type="paragraph" w:customStyle="1" w:styleId="wordsection1">
    <w:name w:val="wordsection1"/>
    <w:basedOn w:val="Normal"/>
    <w:link w:val="wordsection1Char"/>
    <w:uiPriority w:val="99"/>
    <w:rsid w:val="0012079F"/>
    <w:rPr>
      <w:rFonts w:ascii="Calibri" w:eastAsia="Times New Roman" w:hAnsi="Calibri" w:cs="Calibri"/>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785396">
      <w:bodyDiv w:val="1"/>
      <w:marLeft w:val="0"/>
      <w:marRight w:val="0"/>
      <w:marTop w:val="0"/>
      <w:marBottom w:val="0"/>
      <w:divBdr>
        <w:top w:val="none" w:sz="0" w:space="0" w:color="auto"/>
        <w:left w:val="none" w:sz="0" w:space="0" w:color="auto"/>
        <w:bottom w:val="none" w:sz="0" w:space="0" w:color="auto"/>
        <w:right w:val="none" w:sz="0" w:space="0" w:color="auto"/>
      </w:divBdr>
    </w:div>
    <w:div w:id="190993299">
      <w:bodyDiv w:val="1"/>
      <w:marLeft w:val="0"/>
      <w:marRight w:val="0"/>
      <w:marTop w:val="0"/>
      <w:marBottom w:val="0"/>
      <w:divBdr>
        <w:top w:val="none" w:sz="0" w:space="0" w:color="auto"/>
        <w:left w:val="none" w:sz="0" w:space="0" w:color="auto"/>
        <w:bottom w:val="none" w:sz="0" w:space="0" w:color="auto"/>
        <w:right w:val="none" w:sz="0" w:space="0" w:color="auto"/>
      </w:divBdr>
    </w:div>
    <w:div w:id="240916047">
      <w:bodyDiv w:val="1"/>
      <w:marLeft w:val="0"/>
      <w:marRight w:val="0"/>
      <w:marTop w:val="0"/>
      <w:marBottom w:val="0"/>
      <w:divBdr>
        <w:top w:val="none" w:sz="0" w:space="0" w:color="auto"/>
        <w:left w:val="none" w:sz="0" w:space="0" w:color="auto"/>
        <w:bottom w:val="none" w:sz="0" w:space="0" w:color="auto"/>
        <w:right w:val="none" w:sz="0" w:space="0" w:color="auto"/>
      </w:divBdr>
    </w:div>
    <w:div w:id="329060298">
      <w:bodyDiv w:val="1"/>
      <w:marLeft w:val="0"/>
      <w:marRight w:val="0"/>
      <w:marTop w:val="0"/>
      <w:marBottom w:val="0"/>
      <w:divBdr>
        <w:top w:val="none" w:sz="0" w:space="0" w:color="auto"/>
        <w:left w:val="none" w:sz="0" w:space="0" w:color="auto"/>
        <w:bottom w:val="none" w:sz="0" w:space="0" w:color="auto"/>
        <w:right w:val="none" w:sz="0" w:space="0" w:color="auto"/>
      </w:divBdr>
    </w:div>
    <w:div w:id="533270546">
      <w:bodyDiv w:val="1"/>
      <w:marLeft w:val="0"/>
      <w:marRight w:val="0"/>
      <w:marTop w:val="0"/>
      <w:marBottom w:val="0"/>
      <w:divBdr>
        <w:top w:val="none" w:sz="0" w:space="0" w:color="auto"/>
        <w:left w:val="none" w:sz="0" w:space="0" w:color="auto"/>
        <w:bottom w:val="none" w:sz="0" w:space="0" w:color="auto"/>
        <w:right w:val="none" w:sz="0" w:space="0" w:color="auto"/>
      </w:divBdr>
    </w:div>
    <w:div w:id="1131745976">
      <w:bodyDiv w:val="1"/>
      <w:marLeft w:val="0"/>
      <w:marRight w:val="0"/>
      <w:marTop w:val="0"/>
      <w:marBottom w:val="0"/>
      <w:divBdr>
        <w:top w:val="none" w:sz="0" w:space="0" w:color="auto"/>
        <w:left w:val="none" w:sz="0" w:space="0" w:color="auto"/>
        <w:bottom w:val="none" w:sz="0" w:space="0" w:color="auto"/>
        <w:right w:val="none" w:sz="0" w:space="0" w:color="auto"/>
      </w:divBdr>
    </w:div>
    <w:div w:id="1904102890">
      <w:bodyDiv w:val="1"/>
      <w:marLeft w:val="0"/>
      <w:marRight w:val="0"/>
      <w:marTop w:val="0"/>
      <w:marBottom w:val="0"/>
      <w:divBdr>
        <w:top w:val="none" w:sz="0" w:space="0" w:color="auto"/>
        <w:left w:val="none" w:sz="0" w:space="0" w:color="auto"/>
        <w:bottom w:val="none" w:sz="0" w:space="0" w:color="auto"/>
        <w:right w:val="none" w:sz="0" w:space="0" w:color="auto"/>
      </w:divBdr>
    </w:div>
  </w:divs>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mailto:hugo.taguas@bbva.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mailto:dcmcorps-europ.group@bbva.com" TargetMode="Externa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3043D4-127E-4B27-95C2-44F83B7F9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17221</Words>
  <Characters>90071</Characters>
  <Application>Microsoft Office Word</Application>
  <DocSecurity>0</DocSecurity>
  <Lines>1637</Lines>
  <Paragraphs>710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106582</CharactersWithSpaces>
  <SharedDoc>false</SharedDoc>
  <HLinks>
    <vt:vector size="102" baseType="variant">
      <vt:variant>
        <vt:i4>7405570</vt:i4>
      </vt:variant>
      <vt:variant>
        <vt:i4>99</vt:i4>
      </vt:variant>
      <vt:variant>
        <vt:i4>0</vt:i4>
      </vt:variant>
      <vt:variant>
        <vt:i4>5</vt:i4>
      </vt:variant>
      <vt:variant>
        <vt:lpwstr>mailto:hugo.taguas@bbva.com</vt:lpwstr>
      </vt:variant>
      <vt:variant>
        <vt:lpwstr/>
      </vt:variant>
      <vt:variant>
        <vt:i4>2555905</vt:i4>
      </vt:variant>
      <vt:variant>
        <vt:i4>96</vt:i4>
      </vt:variant>
      <vt:variant>
        <vt:i4>0</vt:i4>
      </vt:variant>
      <vt:variant>
        <vt:i4>5</vt:i4>
      </vt:variant>
      <vt:variant>
        <vt:lpwstr>mailto:dcmcorps-europ.group@bbva.com</vt:lpwstr>
      </vt:variant>
      <vt:variant>
        <vt:lpwstr/>
      </vt:variant>
      <vt:variant>
        <vt:i4>1441844</vt:i4>
      </vt:variant>
      <vt:variant>
        <vt:i4>86</vt:i4>
      </vt:variant>
      <vt:variant>
        <vt:i4>0</vt:i4>
      </vt:variant>
      <vt:variant>
        <vt:i4>5</vt:i4>
      </vt:variant>
      <vt:variant>
        <vt:lpwstr/>
      </vt:variant>
      <vt:variant>
        <vt:lpwstr>_Toc60859034</vt:lpwstr>
      </vt:variant>
      <vt:variant>
        <vt:i4>1114164</vt:i4>
      </vt:variant>
      <vt:variant>
        <vt:i4>80</vt:i4>
      </vt:variant>
      <vt:variant>
        <vt:i4>0</vt:i4>
      </vt:variant>
      <vt:variant>
        <vt:i4>5</vt:i4>
      </vt:variant>
      <vt:variant>
        <vt:lpwstr/>
      </vt:variant>
      <vt:variant>
        <vt:lpwstr>_Toc60859033</vt:lpwstr>
      </vt:variant>
      <vt:variant>
        <vt:i4>1048628</vt:i4>
      </vt:variant>
      <vt:variant>
        <vt:i4>74</vt:i4>
      </vt:variant>
      <vt:variant>
        <vt:i4>0</vt:i4>
      </vt:variant>
      <vt:variant>
        <vt:i4>5</vt:i4>
      </vt:variant>
      <vt:variant>
        <vt:lpwstr/>
      </vt:variant>
      <vt:variant>
        <vt:lpwstr>_Toc60859032</vt:lpwstr>
      </vt:variant>
      <vt:variant>
        <vt:i4>1245236</vt:i4>
      </vt:variant>
      <vt:variant>
        <vt:i4>68</vt:i4>
      </vt:variant>
      <vt:variant>
        <vt:i4>0</vt:i4>
      </vt:variant>
      <vt:variant>
        <vt:i4>5</vt:i4>
      </vt:variant>
      <vt:variant>
        <vt:lpwstr/>
      </vt:variant>
      <vt:variant>
        <vt:lpwstr>_Toc60859031</vt:lpwstr>
      </vt:variant>
      <vt:variant>
        <vt:i4>1179700</vt:i4>
      </vt:variant>
      <vt:variant>
        <vt:i4>62</vt:i4>
      </vt:variant>
      <vt:variant>
        <vt:i4>0</vt:i4>
      </vt:variant>
      <vt:variant>
        <vt:i4>5</vt:i4>
      </vt:variant>
      <vt:variant>
        <vt:lpwstr/>
      </vt:variant>
      <vt:variant>
        <vt:lpwstr>_Toc60859030</vt:lpwstr>
      </vt:variant>
      <vt:variant>
        <vt:i4>1769525</vt:i4>
      </vt:variant>
      <vt:variant>
        <vt:i4>56</vt:i4>
      </vt:variant>
      <vt:variant>
        <vt:i4>0</vt:i4>
      </vt:variant>
      <vt:variant>
        <vt:i4>5</vt:i4>
      </vt:variant>
      <vt:variant>
        <vt:lpwstr/>
      </vt:variant>
      <vt:variant>
        <vt:lpwstr>_Toc60859029</vt:lpwstr>
      </vt:variant>
      <vt:variant>
        <vt:i4>1703989</vt:i4>
      </vt:variant>
      <vt:variant>
        <vt:i4>50</vt:i4>
      </vt:variant>
      <vt:variant>
        <vt:i4>0</vt:i4>
      </vt:variant>
      <vt:variant>
        <vt:i4>5</vt:i4>
      </vt:variant>
      <vt:variant>
        <vt:lpwstr/>
      </vt:variant>
      <vt:variant>
        <vt:lpwstr>_Toc60859028</vt:lpwstr>
      </vt:variant>
      <vt:variant>
        <vt:i4>1376309</vt:i4>
      </vt:variant>
      <vt:variant>
        <vt:i4>44</vt:i4>
      </vt:variant>
      <vt:variant>
        <vt:i4>0</vt:i4>
      </vt:variant>
      <vt:variant>
        <vt:i4>5</vt:i4>
      </vt:variant>
      <vt:variant>
        <vt:lpwstr/>
      </vt:variant>
      <vt:variant>
        <vt:lpwstr>_Toc60859027</vt:lpwstr>
      </vt:variant>
      <vt:variant>
        <vt:i4>1310773</vt:i4>
      </vt:variant>
      <vt:variant>
        <vt:i4>38</vt:i4>
      </vt:variant>
      <vt:variant>
        <vt:i4>0</vt:i4>
      </vt:variant>
      <vt:variant>
        <vt:i4>5</vt:i4>
      </vt:variant>
      <vt:variant>
        <vt:lpwstr/>
      </vt:variant>
      <vt:variant>
        <vt:lpwstr>_Toc60859026</vt:lpwstr>
      </vt:variant>
      <vt:variant>
        <vt:i4>1507381</vt:i4>
      </vt:variant>
      <vt:variant>
        <vt:i4>32</vt:i4>
      </vt:variant>
      <vt:variant>
        <vt:i4>0</vt:i4>
      </vt:variant>
      <vt:variant>
        <vt:i4>5</vt:i4>
      </vt:variant>
      <vt:variant>
        <vt:lpwstr/>
      </vt:variant>
      <vt:variant>
        <vt:lpwstr>_Toc60859025</vt:lpwstr>
      </vt:variant>
      <vt:variant>
        <vt:i4>1441845</vt:i4>
      </vt:variant>
      <vt:variant>
        <vt:i4>26</vt:i4>
      </vt:variant>
      <vt:variant>
        <vt:i4>0</vt:i4>
      </vt:variant>
      <vt:variant>
        <vt:i4>5</vt:i4>
      </vt:variant>
      <vt:variant>
        <vt:lpwstr/>
      </vt:variant>
      <vt:variant>
        <vt:lpwstr>_Toc60859024</vt:lpwstr>
      </vt:variant>
      <vt:variant>
        <vt:i4>1114165</vt:i4>
      </vt:variant>
      <vt:variant>
        <vt:i4>20</vt:i4>
      </vt:variant>
      <vt:variant>
        <vt:i4>0</vt:i4>
      </vt:variant>
      <vt:variant>
        <vt:i4>5</vt:i4>
      </vt:variant>
      <vt:variant>
        <vt:lpwstr/>
      </vt:variant>
      <vt:variant>
        <vt:lpwstr>_Toc60859023</vt:lpwstr>
      </vt:variant>
      <vt:variant>
        <vt:i4>1048629</vt:i4>
      </vt:variant>
      <vt:variant>
        <vt:i4>14</vt:i4>
      </vt:variant>
      <vt:variant>
        <vt:i4>0</vt:i4>
      </vt:variant>
      <vt:variant>
        <vt:i4>5</vt:i4>
      </vt:variant>
      <vt:variant>
        <vt:lpwstr/>
      </vt:variant>
      <vt:variant>
        <vt:lpwstr>_Toc60859022</vt:lpwstr>
      </vt:variant>
      <vt:variant>
        <vt:i4>1245237</vt:i4>
      </vt:variant>
      <vt:variant>
        <vt:i4>8</vt:i4>
      </vt:variant>
      <vt:variant>
        <vt:i4>0</vt:i4>
      </vt:variant>
      <vt:variant>
        <vt:i4>5</vt:i4>
      </vt:variant>
      <vt:variant>
        <vt:lpwstr/>
      </vt:variant>
      <vt:variant>
        <vt:lpwstr>_Toc60859021</vt:lpwstr>
      </vt:variant>
      <vt:variant>
        <vt:i4>1179701</vt:i4>
      </vt:variant>
      <vt:variant>
        <vt:i4>2</vt:i4>
      </vt:variant>
      <vt:variant>
        <vt:i4>0</vt:i4>
      </vt:variant>
      <vt:variant>
        <vt:i4>5</vt:i4>
      </vt:variant>
      <vt:variant>
        <vt:lpwstr/>
      </vt:variant>
      <vt:variant>
        <vt:lpwstr>_Toc60859020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Cemlyn-Jones, Nerea</dc:creator>
  <cp:keywords/>
  <dc:description/>
  <cp:lastModifiedBy>Nerea Cemlyn-Jones Aldaz</cp:lastModifiedBy>
  <cp:revision>2</cp:revision>
  <cp:lastPrinted>2019-11-08T11:50:00Z</cp:lastPrinted>
  <dcterms:created xsi:type="dcterms:W3CDTF">2023-04-10T19:58:00Z</dcterms:created>
  <dcterms:modified xsi:type="dcterms:W3CDTF">2023-04-10T19:58:00Z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HS Applied">
    <vt:lpwstr/>
  </property>
  <property fmtid="{D5CDD505-2E9C-101B-9397-08002B2CF9AE}" pid="3" name="CreateDate">
    <vt:lpwstr>18 September 2017</vt:lpwstr>
  </property>
  <property fmtid="{D5CDD505-2E9C-101B-9397-08002B2CF9AE}" pid="4" name="gCurrentVersion">
    <vt:lpwstr>18 September 2017 D1V1</vt:lpwstr>
  </property>
  <property fmtid="{D5CDD505-2E9C-101B-9397-08002B2CF9AE}" pid="5" name="Plato EditorId">
    <vt:lpwstr>dcf0ea51-0fd2-4454-9fac-b5baa03a745e</vt:lpwstr>
  </property>
  <property fmtid="{D5CDD505-2E9C-101B-9397-08002B2CF9AE}" pid="6" name="Plato Jurisdiction">
    <vt:lpwstr>ENW</vt:lpwstr>
  </property>
  <property fmtid="{D5CDD505-2E9C-101B-9397-08002B2CF9AE}" pid="7" name="Plato Language">
    <vt:lpwstr>en_GB</vt:lpwstr>
  </property>
  <property fmtid="{D5CDD505-2E9C-101B-9397-08002B2CF9AE}" pid="8" name="Plato Office">
    <vt:lpwstr>SHEFLD</vt:lpwstr>
  </property>
  <property fmtid="{D5CDD505-2E9C-101B-9397-08002B2CF9AE}" pid="9" name="Plato Template">
    <vt:lpwstr>standard-finance-agreement-and-lease</vt:lpwstr>
  </property>
  <property fmtid="{D5CDD505-2E9C-101B-9397-08002B2CF9AE}" pid="10" name="Plato Template Version">
    <vt:lpwstr>1.1</vt:lpwstr>
  </property>
</Properties>
</file>